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9C" w:rsidRPr="006A1E48" w:rsidRDefault="009871F6" w:rsidP="003708D5">
      <w:pPr>
        <w:spacing w:line="460" w:lineRule="exact"/>
        <w:jc w:val="center"/>
        <w:rPr>
          <w:rFonts w:ascii="Times New Roman" w:eastAsia="標楷體" w:hAnsi="Times New Roman"/>
          <w:sz w:val="36"/>
          <w:szCs w:val="24"/>
        </w:rPr>
      </w:pPr>
      <w:bookmarkStart w:id="0" w:name="_GoBack"/>
      <w:bookmarkEnd w:id="0"/>
      <w:r w:rsidRPr="006A1E48">
        <w:rPr>
          <w:rFonts w:ascii="Times New Roman" w:eastAsia="標楷體" w:hAnsi="Times New Roman"/>
          <w:sz w:val="40"/>
          <w:szCs w:val="40"/>
        </w:rPr>
        <w:t>能源開發及使用評估準則</w:t>
      </w:r>
    </w:p>
    <w:p w:rsidR="009871F6" w:rsidRPr="006A1E48" w:rsidRDefault="009871F6" w:rsidP="00AE78C3">
      <w:pPr>
        <w:adjustRightInd w:val="0"/>
        <w:snapToGrid w:val="0"/>
        <w:ind w:rightChars="32" w:right="77"/>
        <w:rPr>
          <w:rFonts w:ascii="Times New Roman" w:eastAsia="標楷體" w:hAnsi="Times New Roman"/>
          <w:szCs w:val="24"/>
        </w:rPr>
      </w:pPr>
    </w:p>
    <w:p w:rsidR="009871F6" w:rsidRPr="006A1E48" w:rsidRDefault="009871F6" w:rsidP="00A6009B">
      <w:pPr>
        <w:adjustRightInd w:val="0"/>
        <w:snapToGrid w:val="0"/>
        <w:spacing w:line="460" w:lineRule="exact"/>
        <w:ind w:leftChars="2" w:left="845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 xml:space="preserve">第一條　</w:t>
      </w:r>
      <w:r w:rsidR="008F0659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/>
          <w:sz w:val="28"/>
          <w:szCs w:val="28"/>
        </w:rPr>
        <w:t>本準則依能源管理法（以下</w:t>
      </w:r>
      <w:r w:rsidRPr="006A1E48">
        <w:rPr>
          <w:rFonts w:ascii="Times New Roman" w:eastAsia="標楷體" w:hAnsi="Times New Roman" w:hint="eastAsia"/>
          <w:sz w:val="28"/>
          <w:szCs w:val="28"/>
        </w:rPr>
        <w:t>簡</w:t>
      </w:r>
      <w:r w:rsidRPr="006A1E48">
        <w:rPr>
          <w:rFonts w:ascii="Times New Roman" w:eastAsia="標楷體" w:hAnsi="Times New Roman"/>
          <w:sz w:val="28"/>
          <w:szCs w:val="28"/>
        </w:rPr>
        <w:t>稱本法）第十五條之一</w:t>
      </w:r>
      <w:r w:rsidRPr="006A1E48">
        <w:rPr>
          <w:rFonts w:ascii="Times New Roman" w:eastAsia="標楷體" w:hAnsi="Times New Roman" w:hint="eastAsia"/>
          <w:sz w:val="28"/>
          <w:szCs w:val="28"/>
        </w:rPr>
        <w:t>規定</w:t>
      </w:r>
      <w:r w:rsidRPr="006A1E48">
        <w:rPr>
          <w:rFonts w:ascii="Times New Roman" w:eastAsia="標楷體" w:hAnsi="Times New Roman"/>
          <w:sz w:val="28"/>
          <w:szCs w:val="28"/>
        </w:rPr>
        <w:t>訂定之。</w:t>
      </w:r>
    </w:p>
    <w:p w:rsidR="009871F6" w:rsidRPr="006A1E48" w:rsidRDefault="009871F6" w:rsidP="00EF0F6B">
      <w:pPr>
        <w:adjustRightInd w:val="0"/>
        <w:snapToGrid w:val="0"/>
        <w:spacing w:line="460" w:lineRule="exact"/>
        <w:ind w:rightChars="32" w:right="77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</w:t>
      </w:r>
      <w:r w:rsidRPr="006A1E48">
        <w:rPr>
          <w:rFonts w:ascii="Times New Roman" w:eastAsia="標楷體" w:hAnsi="Times New Roman" w:hint="eastAsia"/>
          <w:sz w:val="28"/>
          <w:szCs w:val="28"/>
        </w:rPr>
        <w:t>二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8F0659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/>
          <w:sz w:val="28"/>
          <w:szCs w:val="28"/>
        </w:rPr>
        <w:t>本準則用詞</w:t>
      </w:r>
      <w:r w:rsidRPr="006A1E48">
        <w:rPr>
          <w:rFonts w:ascii="Times New Roman" w:eastAsia="標楷體" w:hAnsi="Times New Roman" w:hint="eastAsia"/>
          <w:sz w:val="28"/>
          <w:szCs w:val="28"/>
        </w:rPr>
        <w:t>，</w:t>
      </w:r>
      <w:r w:rsidRPr="006A1E48">
        <w:rPr>
          <w:rFonts w:ascii="Times New Roman" w:eastAsia="標楷體" w:hAnsi="Times New Roman"/>
          <w:sz w:val="28"/>
          <w:szCs w:val="28"/>
        </w:rPr>
        <w:t>定義如下</w:t>
      </w:r>
      <w:r w:rsidRPr="006A1E48">
        <w:rPr>
          <w:rFonts w:ascii="Times New Roman" w:eastAsia="標楷體" w:hAnsi="Times New Roman" w:hint="eastAsia"/>
          <w:sz w:val="28"/>
          <w:szCs w:val="28"/>
        </w:rPr>
        <w:t>：</w:t>
      </w:r>
    </w:p>
    <w:p w:rsidR="003D23EA" w:rsidRPr="00477E93" w:rsidRDefault="009871F6" w:rsidP="002973D7">
      <w:pPr>
        <w:pStyle w:val="a9"/>
        <w:numPr>
          <w:ilvl w:val="0"/>
          <w:numId w:val="4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4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 w:hint="eastAsia"/>
          <w:sz w:val="28"/>
          <w:szCs w:val="28"/>
        </w:rPr>
        <w:t>數量：電力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類</w:t>
      </w:r>
      <w:r w:rsidRPr="00477E93">
        <w:rPr>
          <w:rFonts w:ascii="Times New Roman" w:eastAsia="標楷體" w:hAnsi="Times New Roman" w:hint="eastAsia"/>
          <w:sz w:val="28"/>
          <w:szCs w:val="28"/>
        </w:rPr>
        <w:t>或汽電共生類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，指</w:t>
      </w:r>
      <w:r w:rsidRPr="00477E93">
        <w:rPr>
          <w:rFonts w:ascii="Times New Roman" w:eastAsia="標楷體" w:hAnsi="Times New Roman" w:hint="eastAsia"/>
          <w:sz w:val="28"/>
          <w:szCs w:val="28"/>
        </w:rPr>
        <w:t>發電設備裝置容量；石油煉製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類</w:t>
      </w:r>
      <w:r w:rsidRPr="00477E93">
        <w:rPr>
          <w:rFonts w:ascii="Times New Roman" w:eastAsia="標楷體" w:hAnsi="Times New Roman" w:hint="eastAsia"/>
          <w:sz w:val="28"/>
          <w:szCs w:val="28"/>
        </w:rPr>
        <w:t>或能源使用類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，指</w:t>
      </w:r>
      <w:r w:rsidRPr="00477E93">
        <w:rPr>
          <w:rFonts w:ascii="Times New Roman" w:eastAsia="標楷體" w:hAnsi="Times New Roman" w:hint="eastAsia"/>
          <w:sz w:val="28"/>
          <w:szCs w:val="28"/>
        </w:rPr>
        <w:t>用電契約容量及自用發電設備裝置容量。</w:t>
      </w:r>
    </w:p>
    <w:p w:rsidR="00B961A3" w:rsidRPr="00477E93" w:rsidRDefault="009871F6" w:rsidP="002973D7">
      <w:pPr>
        <w:pStyle w:val="a9"/>
        <w:numPr>
          <w:ilvl w:val="0"/>
          <w:numId w:val="4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4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 w:hint="eastAsia"/>
          <w:sz w:val="28"/>
          <w:szCs w:val="28"/>
        </w:rPr>
        <w:t>種類</w:t>
      </w:r>
      <w:r w:rsidRPr="00477E93">
        <w:rPr>
          <w:rFonts w:ascii="Times New Roman" w:eastAsia="標楷體" w:hAnsi="Times New Roman"/>
          <w:sz w:val="28"/>
          <w:szCs w:val="28"/>
        </w:rPr>
        <w:t>：</w:t>
      </w:r>
      <w:r w:rsidRPr="00477E93">
        <w:rPr>
          <w:rFonts w:ascii="Times New Roman" w:eastAsia="標楷體" w:hAnsi="Times New Roman" w:hint="eastAsia"/>
          <w:sz w:val="28"/>
          <w:szCs w:val="28"/>
        </w:rPr>
        <w:t>指煤炭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（公噸）</w:t>
      </w:r>
      <w:r w:rsidRPr="00477E93">
        <w:rPr>
          <w:rFonts w:ascii="Times New Roman" w:eastAsia="標楷體" w:hAnsi="Times New Roman" w:hint="eastAsia"/>
          <w:sz w:val="28"/>
          <w:szCs w:val="28"/>
        </w:rPr>
        <w:t>、石油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（公秉油當量）</w:t>
      </w:r>
      <w:r w:rsidRPr="00477E93">
        <w:rPr>
          <w:rFonts w:ascii="Times New Roman" w:eastAsia="標楷體" w:hAnsi="Times New Roman" w:hint="eastAsia"/>
          <w:sz w:val="28"/>
          <w:szCs w:val="28"/>
        </w:rPr>
        <w:t>、天然氣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（千立方公尺）</w:t>
      </w:r>
      <w:r w:rsidRPr="00477E93">
        <w:rPr>
          <w:rFonts w:ascii="Times New Roman" w:eastAsia="標楷體" w:hAnsi="Times New Roman" w:hint="eastAsia"/>
          <w:sz w:val="28"/>
          <w:szCs w:val="28"/>
        </w:rPr>
        <w:t>及電力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（千瓩）</w:t>
      </w:r>
      <w:r w:rsidRPr="00477E93">
        <w:rPr>
          <w:rFonts w:ascii="Times New Roman" w:eastAsia="標楷體" w:hAnsi="Times New Roman" w:hint="eastAsia"/>
          <w:sz w:val="28"/>
          <w:szCs w:val="28"/>
        </w:rPr>
        <w:t>。</w:t>
      </w:r>
    </w:p>
    <w:p w:rsidR="0052172B" w:rsidRPr="00477E93" w:rsidRDefault="009871F6" w:rsidP="002973D7">
      <w:pPr>
        <w:pStyle w:val="a9"/>
        <w:numPr>
          <w:ilvl w:val="0"/>
          <w:numId w:val="4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4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/>
          <w:sz w:val="28"/>
          <w:szCs w:val="28"/>
        </w:rPr>
        <w:t>區位：</w:t>
      </w:r>
      <w:r w:rsidRPr="00477E93">
        <w:rPr>
          <w:rFonts w:ascii="Times New Roman" w:eastAsia="標楷體" w:hAnsi="Times New Roman" w:hint="eastAsia"/>
          <w:sz w:val="28"/>
          <w:szCs w:val="28"/>
        </w:rPr>
        <w:t>北區，指鳳山溪以北及和平溪以北；中區，指鳳山溪以南、濁水溪以北及花蓮縣；南區，指濁水溪以南且非屬北區或中區之區域及臺東縣；</w:t>
      </w:r>
      <w:r w:rsidRPr="00477E93">
        <w:rPr>
          <w:rFonts w:ascii="Times New Roman" w:eastAsia="標楷體" w:hAnsi="Times New Roman"/>
          <w:sz w:val="28"/>
          <w:szCs w:val="28"/>
        </w:rPr>
        <w:t>離島</w:t>
      </w:r>
      <w:r w:rsidRPr="00477E93">
        <w:rPr>
          <w:rFonts w:ascii="Times New Roman" w:eastAsia="標楷體" w:hAnsi="Times New Roman" w:hint="eastAsia"/>
          <w:sz w:val="28"/>
          <w:szCs w:val="28"/>
        </w:rPr>
        <w:t>，</w:t>
      </w:r>
      <w:r w:rsidRPr="00477E93">
        <w:rPr>
          <w:rFonts w:ascii="Times New Roman" w:eastAsia="標楷體" w:hAnsi="Times New Roman"/>
          <w:sz w:val="28"/>
          <w:szCs w:val="28"/>
        </w:rPr>
        <w:t>指</w:t>
      </w:r>
      <w:r w:rsidRPr="00477E93">
        <w:rPr>
          <w:rFonts w:ascii="Times New Roman" w:eastAsia="標楷體" w:hAnsi="Times New Roman" w:hint="eastAsia"/>
          <w:sz w:val="28"/>
          <w:szCs w:val="28"/>
        </w:rPr>
        <w:t>其</w:t>
      </w:r>
      <w:r w:rsidRPr="00477E93">
        <w:rPr>
          <w:rFonts w:ascii="Times New Roman" w:eastAsia="標楷體" w:hAnsi="Times New Roman"/>
          <w:sz w:val="28"/>
          <w:szCs w:val="28"/>
        </w:rPr>
        <w:t>電力未與臺灣本島</w:t>
      </w:r>
      <w:r w:rsidRPr="00477E93">
        <w:rPr>
          <w:rFonts w:ascii="Times New Roman" w:eastAsia="標楷體" w:hAnsi="Times New Roman" w:hint="eastAsia"/>
          <w:sz w:val="28"/>
          <w:szCs w:val="28"/>
        </w:rPr>
        <w:t>電力網</w:t>
      </w:r>
      <w:r w:rsidRPr="00477E93">
        <w:rPr>
          <w:rFonts w:ascii="Times New Roman" w:eastAsia="標楷體" w:hAnsi="Times New Roman"/>
          <w:sz w:val="28"/>
          <w:szCs w:val="28"/>
        </w:rPr>
        <w:t>連結之島嶼。</w:t>
      </w:r>
    </w:p>
    <w:p w:rsidR="0052172B" w:rsidRPr="00477E93" w:rsidRDefault="009871F6" w:rsidP="002973D7">
      <w:pPr>
        <w:pStyle w:val="a9"/>
        <w:numPr>
          <w:ilvl w:val="0"/>
          <w:numId w:val="4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4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 w:hint="eastAsia"/>
          <w:sz w:val="28"/>
          <w:szCs w:val="28"/>
        </w:rPr>
        <w:t>能源使用類：</w:t>
      </w:r>
      <w:r w:rsidR="00E81C0A" w:rsidRPr="00477E93">
        <w:rPr>
          <w:rFonts w:ascii="Times New Roman" w:eastAsia="標楷體" w:hAnsi="Times New Roman" w:hint="eastAsia"/>
          <w:sz w:val="28"/>
          <w:szCs w:val="28"/>
        </w:rPr>
        <w:t>指</w:t>
      </w:r>
      <w:r w:rsidRPr="00477E93">
        <w:rPr>
          <w:rFonts w:ascii="Times New Roman" w:eastAsia="標楷體" w:hAnsi="Times New Roman" w:hint="eastAsia"/>
          <w:sz w:val="28"/>
          <w:szCs w:val="28"/>
        </w:rPr>
        <w:t>除石油管理法所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定</w:t>
      </w:r>
      <w:r w:rsidRPr="00477E93">
        <w:rPr>
          <w:rFonts w:ascii="Times New Roman" w:eastAsia="標楷體" w:hAnsi="Times New Roman" w:hint="eastAsia"/>
          <w:sz w:val="28"/>
          <w:szCs w:val="28"/>
        </w:rPr>
        <w:t>之石油煉製業外，屬中華民國行業標準分類所列之製造業。</w:t>
      </w:r>
    </w:p>
    <w:p w:rsidR="0052172B" w:rsidRPr="00CE7A2F" w:rsidRDefault="009871F6" w:rsidP="002973D7">
      <w:pPr>
        <w:pStyle w:val="a9"/>
        <w:numPr>
          <w:ilvl w:val="0"/>
          <w:numId w:val="4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4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/>
          <w:sz w:val="28"/>
          <w:szCs w:val="28"/>
        </w:rPr>
        <w:t>申請期別：</w:t>
      </w:r>
      <w:r w:rsidR="00654FCC">
        <w:rPr>
          <w:rFonts w:ascii="Times New Roman" w:eastAsia="標楷體" w:hAnsi="Times New Roman" w:hint="eastAsia"/>
          <w:sz w:val="28"/>
          <w:szCs w:val="28"/>
        </w:rPr>
        <w:t>指</w:t>
      </w:r>
      <w:r w:rsidRPr="00477E93">
        <w:rPr>
          <w:rFonts w:ascii="Times New Roman" w:eastAsia="標楷體" w:hAnsi="Times New Roman" w:hint="eastAsia"/>
          <w:sz w:val="28"/>
          <w:szCs w:val="28"/>
        </w:rPr>
        <w:t>以</w:t>
      </w:r>
      <w:r w:rsidRPr="00477E93">
        <w:rPr>
          <w:rFonts w:ascii="Times New Roman" w:eastAsia="標楷體" w:hAnsi="Times New Roman"/>
          <w:sz w:val="28"/>
          <w:szCs w:val="28"/>
        </w:rPr>
        <w:t>能源使用說明書所</w:t>
      </w:r>
      <w:r w:rsidRPr="00477E93">
        <w:rPr>
          <w:rFonts w:ascii="Times New Roman" w:eastAsia="標楷體" w:hAnsi="Times New Roman" w:hint="eastAsia"/>
          <w:sz w:val="28"/>
          <w:szCs w:val="28"/>
        </w:rPr>
        <w:t>載</w:t>
      </w:r>
      <w:r w:rsidRPr="00477E93">
        <w:rPr>
          <w:rFonts w:ascii="Times New Roman" w:eastAsia="標楷體" w:hAnsi="Times New Roman"/>
          <w:sz w:val="28"/>
          <w:szCs w:val="28"/>
        </w:rPr>
        <w:t>規劃商轉年</w:t>
      </w:r>
      <w:r w:rsidRPr="00CE7A2F">
        <w:rPr>
          <w:rFonts w:ascii="Times New Roman" w:eastAsia="標楷體" w:hAnsi="Times New Roman" w:hint="eastAsia"/>
          <w:sz w:val="28"/>
          <w:szCs w:val="28"/>
        </w:rPr>
        <w:t>認定</w:t>
      </w:r>
      <w:r w:rsidRPr="00CE7A2F">
        <w:rPr>
          <w:rFonts w:ascii="Times New Roman" w:eastAsia="標楷體" w:hAnsi="Times New Roman"/>
          <w:sz w:val="28"/>
          <w:szCs w:val="28"/>
        </w:rPr>
        <w:t>。</w:t>
      </w:r>
    </w:p>
    <w:p w:rsidR="0052172B" w:rsidRPr="006A1E48" w:rsidRDefault="009871F6" w:rsidP="002973D7">
      <w:pPr>
        <w:pStyle w:val="a9"/>
        <w:numPr>
          <w:ilvl w:val="0"/>
          <w:numId w:val="4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4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備用容量率預估值：指</w:t>
      </w:r>
      <w:r w:rsidRPr="006A1E48">
        <w:rPr>
          <w:rFonts w:ascii="Times New Roman" w:eastAsia="標楷體" w:hAnsi="Times New Roman" w:hint="eastAsia"/>
          <w:sz w:val="28"/>
          <w:szCs w:val="28"/>
        </w:rPr>
        <w:t>中央主管機關以下列公式計算並公開之未來六年每年預估</w:t>
      </w:r>
      <w:r w:rsidRPr="006A1E48">
        <w:rPr>
          <w:rFonts w:ascii="Times New Roman" w:eastAsia="標楷體" w:hAnsi="Times New Roman"/>
          <w:sz w:val="28"/>
          <w:szCs w:val="28"/>
        </w:rPr>
        <w:t>備用容量率</w:t>
      </w:r>
      <w:r w:rsidRPr="006A1E48">
        <w:rPr>
          <w:rFonts w:ascii="Times New Roman" w:eastAsia="標楷體" w:hAnsi="Times New Roman" w:hint="eastAsia"/>
          <w:sz w:val="28"/>
          <w:szCs w:val="28"/>
        </w:rPr>
        <w:t>數值：</w:t>
      </w:r>
      <w:r w:rsidRPr="006A1E48">
        <w:rPr>
          <w:rFonts w:ascii="Times New Roman" w:eastAsia="標楷體" w:hAnsi="Times New Roman"/>
          <w:sz w:val="28"/>
          <w:szCs w:val="28"/>
        </w:rPr>
        <w:br/>
      </w:r>
      <w:r w:rsidRPr="006A1E48">
        <w:rPr>
          <w:rFonts w:ascii="Times New Roman" w:eastAsia="標楷體" w:hAnsi="Times New Roman"/>
          <w:sz w:val="28"/>
          <w:szCs w:val="28"/>
        </w:rPr>
        <w:t>備用容量率預估值＝（全國電力系統</w:t>
      </w:r>
      <w:r w:rsidRPr="006A1E48">
        <w:rPr>
          <w:rFonts w:ascii="Times New Roman" w:eastAsia="標楷體" w:hAnsi="Times New Roman" w:hint="eastAsia"/>
          <w:sz w:val="28"/>
          <w:szCs w:val="28"/>
        </w:rPr>
        <w:t>已</w:t>
      </w:r>
      <w:r w:rsidRPr="006A1E48">
        <w:rPr>
          <w:rFonts w:ascii="Times New Roman" w:eastAsia="標楷體" w:hAnsi="Times New Roman"/>
          <w:sz w:val="28"/>
          <w:szCs w:val="28"/>
        </w:rPr>
        <w:t>商轉發電機組之淨尖峰供電能力合計值</w:t>
      </w:r>
      <w:r w:rsidRPr="006A1E48">
        <w:rPr>
          <w:rFonts w:ascii="Times New Roman" w:eastAsia="標楷體" w:hAnsi="Times New Roman" w:hint="eastAsia"/>
          <w:sz w:val="28"/>
          <w:szCs w:val="28"/>
        </w:rPr>
        <w:t>＋</w:t>
      </w:r>
      <w:r w:rsidRPr="006A1E48">
        <w:rPr>
          <w:rFonts w:ascii="Times New Roman" w:eastAsia="標楷體" w:hAnsi="Times New Roman"/>
          <w:sz w:val="28"/>
          <w:szCs w:val="28"/>
        </w:rPr>
        <w:t>累計已取得籌備創設備案申請計畫之淨尖峰供電能力合計值</w:t>
      </w:r>
      <w:r w:rsidRPr="006A1E48">
        <w:rPr>
          <w:rFonts w:ascii="Times New Roman" w:eastAsia="標楷體" w:hAnsi="Times New Roman" w:hint="eastAsia"/>
          <w:sz w:val="28"/>
          <w:szCs w:val="28"/>
        </w:rPr>
        <w:t>－電力</w:t>
      </w:r>
      <w:r w:rsidRPr="006A1E48">
        <w:rPr>
          <w:rFonts w:ascii="Times New Roman" w:eastAsia="標楷體" w:hAnsi="Times New Roman"/>
          <w:sz w:val="28"/>
          <w:szCs w:val="28"/>
        </w:rPr>
        <w:t>系統尖峰負載預測值）</w:t>
      </w:r>
      <w:r w:rsidRPr="006A1E48">
        <w:rPr>
          <w:rFonts w:ascii="Times New Roman" w:eastAsia="標楷體" w:hAnsi="Times New Roman" w:hint="eastAsia"/>
          <w:sz w:val="28"/>
          <w:szCs w:val="28"/>
        </w:rPr>
        <w:t>／電力</w:t>
      </w:r>
      <w:r w:rsidRPr="006A1E48">
        <w:rPr>
          <w:rFonts w:ascii="Times New Roman" w:eastAsia="標楷體" w:hAnsi="Times New Roman"/>
          <w:sz w:val="28"/>
          <w:szCs w:val="28"/>
        </w:rPr>
        <w:t>系統尖峰負載預測值。</w:t>
      </w:r>
    </w:p>
    <w:p w:rsidR="0052172B" w:rsidRPr="006A1E48" w:rsidRDefault="009871F6" w:rsidP="002973D7">
      <w:pPr>
        <w:pStyle w:val="a9"/>
        <w:numPr>
          <w:ilvl w:val="0"/>
          <w:numId w:val="4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4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備用容量率基準值：指電業依電業法規定提報，</w:t>
      </w:r>
      <w:r w:rsidRPr="006A1E48">
        <w:rPr>
          <w:rFonts w:ascii="Times New Roman" w:eastAsia="標楷體" w:hAnsi="Times New Roman" w:hint="eastAsia"/>
          <w:sz w:val="28"/>
          <w:szCs w:val="28"/>
        </w:rPr>
        <w:t>並</w:t>
      </w:r>
      <w:r w:rsidRPr="006A1E48">
        <w:rPr>
          <w:rFonts w:ascii="Times New Roman" w:eastAsia="標楷體" w:hAnsi="Times New Roman"/>
          <w:sz w:val="28"/>
          <w:szCs w:val="28"/>
        </w:rPr>
        <w:t>經中央主管機關同意</w:t>
      </w:r>
      <w:r w:rsidRPr="006A1E48">
        <w:rPr>
          <w:rFonts w:ascii="Times New Roman" w:eastAsia="標楷體" w:hAnsi="Times New Roman" w:hint="eastAsia"/>
          <w:sz w:val="28"/>
          <w:szCs w:val="28"/>
        </w:rPr>
        <w:t>及</w:t>
      </w:r>
      <w:r w:rsidRPr="006A1E48">
        <w:rPr>
          <w:rFonts w:ascii="Times New Roman" w:eastAsia="標楷體" w:hAnsi="Times New Roman"/>
          <w:sz w:val="28"/>
          <w:szCs w:val="28"/>
        </w:rPr>
        <w:t>公開之備用容量率數值。</w:t>
      </w:r>
    </w:p>
    <w:p w:rsidR="009871F6" w:rsidRPr="006A1E48" w:rsidRDefault="009871F6" w:rsidP="002973D7">
      <w:pPr>
        <w:pStyle w:val="a9"/>
        <w:numPr>
          <w:ilvl w:val="0"/>
          <w:numId w:val="4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4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用電計畫書同意核供函：指電業</w:t>
      </w:r>
      <w:r w:rsidRPr="006A1E48">
        <w:rPr>
          <w:rFonts w:ascii="Times New Roman" w:eastAsia="標楷體" w:hAnsi="Times New Roman" w:hint="eastAsia"/>
          <w:sz w:val="28"/>
          <w:szCs w:val="28"/>
        </w:rPr>
        <w:t>審查同意申請人所提</w:t>
      </w:r>
      <w:r w:rsidRPr="006A1E48">
        <w:rPr>
          <w:rFonts w:ascii="Times New Roman" w:eastAsia="標楷體" w:hAnsi="Times New Roman"/>
          <w:sz w:val="28"/>
          <w:szCs w:val="28"/>
        </w:rPr>
        <w:t>用電計畫書</w:t>
      </w:r>
      <w:r w:rsidRPr="006A1E48">
        <w:rPr>
          <w:rFonts w:ascii="Times New Roman" w:eastAsia="標楷體" w:hAnsi="Times New Roman" w:hint="eastAsia"/>
          <w:sz w:val="28"/>
          <w:szCs w:val="28"/>
        </w:rPr>
        <w:t>之</w:t>
      </w:r>
      <w:r w:rsidRPr="006A1E48">
        <w:rPr>
          <w:rFonts w:ascii="Times New Roman" w:eastAsia="標楷體" w:hAnsi="Times New Roman"/>
          <w:sz w:val="28"/>
          <w:szCs w:val="28"/>
        </w:rPr>
        <w:t>文書</w:t>
      </w:r>
      <w:r w:rsidRPr="006A1E48">
        <w:rPr>
          <w:rFonts w:ascii="Times New Roman" w:eastAsia="標楷體" w:hAnsi="Times New Roman" w:hint="eastAsia"/>
          <w:sz w:val="28"/>
          <w:szCs w:val="28"/>
        </w:rPr>
        <w:t>。</w:t>
      </w:r>
    </w:p>
    <w:p w:rsidR="002871E3" w:rsidRPr="006A1E48" w:rsidRDefault="009871F6" w:rsidP="00EF0F6B">
      <w:pPr>
        <w:pStyle w:val="HTML"/>
        <w:shd w:val="clear" w:color="auto" w:fill="FFFFFF"/>
        <w:snapToGrid w:val="0"/>
        <w:spacing w:line="460" w:lineRule="exact"/>
        <w:ind w:left="840" w:hangingChars="300" w:hanging="840"/>
        <w:jc w:val="both"/>
        <w:rPr>
          <w:rFonts w:ascii="Times New Roman" w:eastAsia="標楷體" w:hAnsi="Times New Roman" w:cs="細明體"/>
          <w:sz w:val="28"/>
          <w:szCs w:val="28"/>
          <w:lang w:val="en-US" w:eastAsia="zh-TW"/>
        </w:rPr>
      </w:pPr>
      <w:r w:rsidRPr="006A1E48">
        <w:rPr>
          <w:rFonts w:ascii="Times New Roman" w:eastAsia="標楷體" w:hAnsi="Times New Roman" w:cs="細明體" w:hint="eastAsia"/>
          <w:sz w:val="28"/>
          <w:szCs w:val="28"/>
          <w:lang w:val="en-US" w:eastAsia="zh-TW"/>
        </w:rPr>
        <w:lastRenderedPageBreak/>
        <w:t xml:space="preserve">第三條　</w:t>
      </w:r>
      <w:r w:rsidR="008F0659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 w:hint="eastAsia"/>
          <w:kern w:val="2"/>
          <w:sz w:val="28"/>
          <w:szCs w:val="28"/>
          <w:lang w:val="en-US" w:eastAsia="zh-TW"/>
        </w:rPr>
        <w:t>本準則適用</w:t>
      </w:r>
      <w:r w:rsidRPr="006A1E48">
        <w:rPr>
          <w:rFonts w:ascii="Times New Roman" w:eastAsia="標楷體" w:hAnsi="Times New Roman" w:cs="細明體" w:hint="eastAsia"/>
          <w:sz w:val="28"/>
          <w:szCs w:val="28"/>
          <w:lang w:val="en-US" w:eastAsia="zh-TW"/>
        </w:rPr>
        <w:t>對象</w:t>
      </w:r>
      <w:r w:rsidRPr="006A1E48">
        <w:rPr>
          <w:rFonts w:ascii="Times New Roman" w:eastAsia="標楷體" w:hAnsi="Times New Roman" w:hint="eastAsia"/>
          <w:kern w:val="2"/>
          <w:sz w:val="28"/>
          <w:szCs w:val="28"/>
          <w:lang w:val="en-US" w:eastAsia="zh-TW"/>
        </w:rPr>
        <w:t>為電力類、汽電共生類、石油煉製類及能源使用類大型投資生產計畫</w:t>
      </w:r>
      <w:r w:rsidRPr="006A1E48">
        <w:rPr>
          <w:rFonts w:ascii="Times New Roman" w:eastAsia="標楷體" w:hAnsi="Times New Roman" w:cs="細明體" w:hint="eastAsia"/>
          <w:sz w:val="28"/>
          <w:szCs w:val="28"/>
          <w:lang w:val="en-US" w:eastAsia="zh-TW"/>
        </w:rPr>
        <w:t>之</w:t>
      </w:r>
      <w:r w:rsidRPr="006A1E48">
        <w:rPr>
          <w:rFonts w:ascii="Times New Roman" w:eastAsia="標楷體" w:hAnsi="Times New Roman" w:cs="細明體"/>
          <w:sz w:val="28"/>
          <w:szCs w:val="28"/>
          <w:lang w:val="en-US" w:eastAsia="zh-TW"/>
        </w:rPr>
        <w:t>能源用戶</w:t>
      </w:r>
      <w:r w:rsidRPr="006A1E48">
        <w:rPr>
          <w:rFonts w:ascii="Times New Roman" w:eastAsia="標楷體" w:hAnsi="Times New Roman" w:cs="細明體" w:hint="eastAsia"/>
          <w:sz w:val="28"/>
          <w:szCs w:val="28"/>
          <w:lang w:val="en-US" w:eastAsia="zh-TW"/>
        </w:rPr>
        <w:t>（以下簡稱能源用戶）</w:t>
      </w:r>
      <w:r w:rsidR="00B15BAF" w:rsidRPr="00B15BAF">
        <w:rPr>
          <w:rFonts w:ascii="Times New Roman" w:eastAsia="標楷體" w:hAnsi="Times New Roman" w:cs="細明體" w:hint="eastAsia"/>
          <w:sz w:val="28"/>
          <w:szCs w:val="28"/>
          <w:lang w:val="en-US" w:eastAsia="zh-TW"/>
        </w:rPr>
        <w:t>，並依本法第十六條第四項</w:t>
      </w:r>
      <w:r w:rsidR="003708D5">
        <w:rPr>
          <w:rFonts w:ascii="Times New Roman" w:eastAsia="標楷體" w:hAnsi="Times New Roman" w:cs="細明體" w:hint="eastAsia"/>
          <w:sz w:val="28"/>
          <w:szCs w:val="28"/>
          <w:lang w:val="en-US" w:eastAsia="zh-TW"/>
        </w:rPr>
        <w:t>規定</w:t>
      </w:r>
      <w:r w:rsidR="00B15BAF" w:rsidRPr="00B15BAF">
        <w:rPr>
          <w:rFonts w:ascii="Times New Roman" w:eastAsia="標楷體" w:hAnsi="Times New Roman" w:cs="細明體" w:hint="eastAsia"/>
          <w:sz w:val="28"/>
          <w:szCs w:val="28"/>
          <w:lang w:val="en-US" w:eastAsia="zh-TW"/>
        </w:rPr>
        <w:t>公告之能源用戶適用之範圍</w:t>
      </w:r>
      <w:r w:rsidRPr="006A1E48">
        <w:rPr>
          <w:rFonts w:ascii="Times New Roman" w:eastAsia="標楷體" w:hAnsi="Times New Roman" w:cs="細明體"/>
          <w:sz w:val="28"/>
          <w:szCs w:val="28"/>
          <w:lang w:val="en-US" w:eastAsia="zh-TW"/>
        </w:rPr>
        <w:t>。</w:t>
      </w:r>
    </w:p>
    <w:p w:rsidR="002871E3" w:rsidRDefault="009871F6" w:rsidP="00EF0F6B">
      <w:pPr>
        <w:pStyle w:val="HTML"/>
        <w:shd w:val="clear" w:color="auto" w:fill="FFFFFF"/>
        <w:snapToGrid w:val="0"/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6A1E48">
        <w:rPr>
          <w:rFonts w:ascii="Times New Roman" w:eastAsia="標楷體" w:hAnsi="Times New Roman"/>
          <w:sz w:val="28"/>
          <w:szCs w:val="28"/>
        </w:rPr>
        <w:t>第</w:t>
      </w:r>
      <w:r w:rsidRPr="006A1E48">
        <w:rPr>
          <w:rFonts w:ascii="Times New Roman" w:eastAsia="標楷體" w:hAnsi="Times New Roman" w:hint="eastAsia"/>
          <w:sz w:val="28"/>
          <w:szCs w:val="28"/>
        </w:rPr>
        <w:t>四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8F0659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能源用戶新設或擴建能源使用設施，應檢具</w:t>
      </w:r>
      <w:r w:rsidRPr="006A1E48">
        <w:rPr>
          <w:rFonts w:ascii="Times New Roman" w:eastAsia="標楷體" w:hAnsi="Times New Roman"/>
          <w:sz w:val="28"/>
          <w:szCs w:val="28"/>
        </w:rPr>
        <w:t>能源使用說明書</w:t>
      </w:r>
      <w:r w:rsidRPr="006A1E48">
        <w:rPr>
          <w:rFonts w:ascii="Times New Roman" w:eastAsia="標楷體" w:hAnsi="Times New Roman" w:hint="eastAsia"/>
          <w:sz w:val="28"/>
          <w:szCs w:val="28"/>
        </w:rPr>
        <w:t>，</w:t>
      </w:r>
      <w:r w:rsidRPr="006A1E48">
        <w:rPr>
          <w:rFonts w:ascii="標楷體" w:eastAsia="標楷體" w:hAnsi="標楷體" w:cs="細明體" w:hint="eastAsia"/>
          <w:sz w:val="28"/>
          <w:szCs w:val="28"/>
        </w:rPr>
        <w:t>向受理許可申請之機關提出申請，轉</w:t>
      </w:r>
      <w:r w:rsidRPr="006A1E48">
        <w:rPr>
          <w:rFonts w:ascii="Times New Roman" w:eastAsia="標楷體" w:hAnsi="Times New Roman"/>
          <w:sz w:val="28"/>
          <w:szCs w:val="28"/>
        </w:rPr>
        <w:t>送中央主管機關</w:t>
      </w:r>
      <w:r w:rsidRPr="006A1E48">
        <w:rPr>
          <w:rFonts w:ascii="Times New Roman" w:eastAsia="標楷體" w:hAnsi="Times New Roman" w:hint="eastAsia"/>
          <w:sz w:val="28"/>
          <w:szCs w:val="28"/>
        </w:rPr>
        <w:t>核准後，始得為之</w:t>
      </w:r>
      <w:r w:rsidRPr="006A1E48">
        <w:rPr>
          <w:rFonts w:ascii="Times New Roman" w:eastAsia="標楷體" w:hAnsi="Times New Roman"/>
          <w:sz w:val="28"/>
          <w:szCs w:val="28"/>
        </w:rPr>
        <w:t>。</w:t>
      </w:r>
      <w:r w:rsidR="00C4172C" w:rsidRPr="00C4172C">
        <w:rPr>
          <w:rFonts w:ascii="Times New Roman" w:eastAsia="標楷體" w:hAnsi="Times New Roman" w:hint="eastAsia"/>
          <w:sz w:val="28"/>
          <w:szCs w:val="28"/>
        </w:rPr>
        <w:t>但無受理許可申請之機關者，申請人</w:t>
      </w:r>
      <w:r w:rsidR="003708D5">
        <w:rPr>
          <w:rFonts w:ascii="Times New Roman" w:eastAsia="標楷體" w:hAnsi="Times New Roman" w:hint="eastAsia"/>
          <w:sz w:val="28"/>
          <w:szCs w:val="28"/>
          <w:lang w:eastAsia="zh-TW"/>
        </w:rPr>
        <w:t>應</w:t>
      </w:r>
      <w:r w:rsidR="00C4172C" w:rsidRPr="00C4172C">
        <w:rPr>
          <w:rFonts w:ascii="Times New Roman" w:eastAsia="標楷體" w:hAnsi="Times New Roman" w:hint="eastAsia"/>
          <w:sz w:val="28"/>
          <w:szCs w:val="28"/>
        </w:rPr>
        <w:t>敘明理由逕向中央主管機關提出申請。</w:t>
      </w:r>
    </w:p>
    <w:p w:rsidR="00DD22DB" w:rsidRPr="006A1E48" w:rsidRDefault="00DD22DB" w:rsidP="00DD22DB">
      <w:pPr>
        <w:adjustRightInd w:val="0"/>
        <w:snapToGrid w:val="0"/>
        <w:spacing w:line="460" w:lineRule="exact"/>
        <w:ind w:left="840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 xml:space="preserve">　　　　　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能源使用說明書經核准後，所載</w:t>
      </w:r>
      <w:r w:rsidRPr="006A1E48">
        <w:rPr>
          <w:rFonts w:ascii="Times New Roman" w:eastAsia="標楷體" w:hAnsi="Times New Roman"/>
          <w:sz w:val="28"/>
          <w:szCs w:val="28"/>
        </w:rPr>
        <w:t>內容</w:t>
      </w:r>
      <w:r w:rsidRPr="006A1E48">
        <w:rPr>
          <w:rFonts w:ascii="Times New Roman" w:eastAsia="標楷體" w:hAnsi="Times New Roman" w:hint="eastAsia"/>
          <w:sz w:val="28"/>
          <w:szCs w:val="28"/>
        </w:rPr>
        <w:t>有下列情形之一</w:t>
      </w:r>
      <w:r>
        <w:rPr>
          <w:rFonts w:ascii="Times New Roman" w:eastAsia="標楷體" w:hAnsi="Times New Roman" w:hint="eastAsia"/>
          <w:sz w:val="28"/>
          <w:szCs w:val="28"/>
        </w:rPr>
        <w:t>者</w:t>
      </w:r>
      <w:r w:rsidRPr="006A1E48">
        <w:rPr>
          <w:rFonts w:ascii="Times New Roman" w:eastAsia="標楷體" w:hAnsi="Times New Roman"/>
          <w:sz w:val="28"/>
          <w:szCs w:val="28"/>
        </w:rPr>
        <w:t>，</w:t>
      </w:r>
      <w:r w:rsidRPr="006A1E48">
        <w:rPr>
          <w:rFonts w:ascii="Times New Roman" w:eastAsia="標楷體" w:hAnsi="Times New Roman" w:hint="eastAsia"/>
          <w:sz w:val="28"/>
          <w:szCs w:val="28"/>
        </w:rPr>
        <w:t>準用</w:t>
      </w:r>
      <w:r w:rsidR="001F2F43">
        <w:rPr>
          <w:rFonts w:ascii="Times New Roman" w:eastAsia="標楷體" w:hAnsi="Times New Roman" w:hint="eastAsia"/>
          <w:sz w:val="28"/>
          <w:szCs w:val="28"/>
        </w:rPr>
        <w:t>前項</w:t>
      </w:r>
      <w:r>
        <w:rPr>
          <w:rFonts w:ascii="Times New Roman" w:eastAsia="標楷體" w:hAnsi="Times New Roman" w:hint="eastAsia"/>
          <w:sz w:val="28"/>
          <w:szCs w:val="28"/>
        </w:rPr>
        <w:t>之</w:t>
      </w:r>
      <w:r w:rsidRPr="006A1E48">
        <w:rPr>
          <w:rFonts w:ascii="Times New Roman" w:eastAsia="標楷體" w:hAnsi="Times New Roman" w:hint="eastAsia"/>
          <w:sz w:val="28"/>
          <w:szCs w:val="28"/>
        </w:rPr>
        <w:t>規定：</w:t>
      </w:r>
    </w:p>
    <w:p w:rsidR="00FB4A99" w:rsidRDefault="00DD22DB" w:rsidP="00FB4A99">
      <w:pPr>
        <w:pStyle w:val="a9"/>
        <w:numPr>
          <w:ilvl w:val="0"/>
          <w:numId w:val="10"/>
        </w:numPr>
        <w:adjustRightInd w:val="0"/>
        <w:snapToGrid w:val="0"/>
        <w:spacing w:line="460" w:lineRule="exact"/>
        <w:ind w:leftChars="0" w:left="1985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2E1DFA">
        <w:rPr>
          <w:rFonts w:ascii="Times New Roman" w:eastAsia="標楷體" w:hAnsi="Times New Roman" w:hint="eastAsia"/>
          <w:sz w:val="28"/>
          <w:szCs w:val="28"/>
        </w:rPr>
        <w:t>能源使用種類變更。</w:t>
      </w:r>
    </w:p>
    <w:p w:rsidR="00FB4A99" w:rsidRDefault="00DD22DB" w:rsidP="00FB4A99">
      <w:pPr>
        <w:pStyle w:val="a9"/>
        <w:numPr>
          <w:ilvl w:val="0"/>
          <w:numId w:val="10"/>
        </w:numPr>
        <w:adjustRightInd w:val="0"/>
        <w:snapToGrid w:val="0"/>
        <w:spacing w:line="460" w:lineRule="exact"/>
        <w:ind w:leftChars="0" w:left="1985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FB4A99">
        <w:rPr>
          <w:rFonts w:ascii="Times New Roman" w:eastAsia="標楷體" w:hAnsi="Times New Roman" w:hint="eastAsia"/>
          <w:sz w:val="28"/>
          <w:szCs w:val="28"/>
        </w:rPr>
        <w:t>能源使用設施之區位變更。</w:t>
      </w:r>
    </w:p>
    <w:p w:rsidR="00FB4A99" w:rsidRDefault="00DD22DB" w:rsidP="00FB4A99">
      <w:pPr>
        <w:pStyle w:val="a9"/>
        <w:numPr>
          <w:ilvl w:val="0"/>
          <w:numId w:val="10"/>
        </w:numPr>
        <w:adjustRightInd w:val="0"/>
        <w:snapToGrid w:val="0"/>
        <w:spacing w:line="460" w:lineRule="exact"/>
        <w:ind w:leftChars="0" w:left="1985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FB4A99">
        <w:rPr>
          <w:rFonts w:ascii="Times New Roman" w:eastAsia="標楷體" w:hAnsi="Times New Roman" w:hint="eastAsia"/>
          <w:sz w:val="28"/>
          <w:szCs w:val="28"/>
        </w:rPr>
        <w:t>能源使用數量增加。</w:t>
      </w:r>
    </w:p>
    <w:p w:rsidR="00DD22DB" w:rsidRPr="00FB4A99" w:rsidRDefault="00DD22DB" w:rsidP="00FB4A99">
      <w:pPr>
        <w:pStyle w:val="a9"/>
        <w:numPr>
          <w:ilvl w:val="0"/>
          <w:numId w:val="10"/>
        </w:numPr>
        <w:adjustRightInd w:val="0"/>
        <w:snapToGrid w:val="0"/>
        <w:spacing w:line="460" w:lineRule="exact"/>
        <w:ind w:leftChars="0" w:left="1985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FB4A99">
        <w:rPr>
          <w:rFonts w:ascii="Times New Roman" w:eastAsia="標楷體" w:hAnsi="Times New Roman" w:hint="eastAsia"/>
          <w:sz w:val="28"/>
          <w:szCs w:val="28"/>
        </w:rPr>
        <w:t>能源使用效</w:t>
      </w:r>
      <w:r w:rsidRPr="00FB4A99">
        <w:rPr>
          <w:rFonts w:ascii="Times New Roman" w:eastAsia="標楷體" w:hAnsi="Times New Roman"/>
          <w:sz w:val="28"/>
          <w:szCs w:val="28"/>
        </w:rPr>
        <w:t>率</w:t>
      </w:r>
      <w:r w:rsidRPr="00FB4A99">
        <w:rPr>
          <w:rFonts w:ascii="Times New Roman" w:eastAsia="標楷體" w:hAnsi="Times New Roman" w:hint="eastAsia"/>
          <w:sz w:val="28"/>
          <w:szCs w:val="28"/>
        </w:rPr>
        <w:t>變更。</w:t>
      </w:r>
    </w:p>
    <w:p w:rsidR="009871F6" w:rsidRPr="006A1E48" w:rsidRDefault="009871F6" w:rsidP="00EF0F6B">
      <w:pPr>
        <w:pStyle w:val="HTML"/>
        <w:shd w:val="clear" w:color="auto" w:fill="FFFFFF"/>
        <w:snapToGrid w:val="0"/>
        <w:spacing w:line="460" w:lineRule="exact"/>
        <w:ind w:left="840" w:hangingChars="300" w:hanging="840"/>
        <w:jc w:val="both"/>
        <w:rPr>
          <w:rFonts w:ascii="Times New Roman" w:eastAsia="標楷體" w:hAnsi="Times New Roman" w:cs="細明體"/>
          <w:sz w:val="28"/>
          <w:szCs w:val="28"/>
          <w:lang w:val="en-US" w:eastAsia="zh-TW"/>
        </w:rPr>
      </w:pPr>
      <w:r w:rsidRPr="006A1E48">
        <w:rPr>
          <w:rFonts w:ascii="Times New Roman" w:eastAsia="標楷體" w:hAnsi="Times New Roman"/>
          <w:sz w:val="28"/>
          <w:szCs w:val="28"/>
        </w:rPr>
        <w:t>第</w:t>
      </w:r>
      <w:r w:rsidRPr="006A1E48">
        <w:rPr>
          <w:rFonts w:ascii="Times New Roman" w:eastAsia="標楷體" w:hAnsi="Times New Roman" w:hint="eastAsia"/>
          <w:sz w:val="28"/>
          <w:szCs w:val="28"/>
        </w:rPr>
        <w:t>五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能源用戶屬電力類者，其申請之</w:t>
      </w:r>
      <w:r w:rsidR="00B15BAF">
        <w:rPr>
          <w:rFonts w:ascii="Times New Roman" w:eastAsia="標楷體" w:hAnsi="Times New Roman" w:hint="eastAsia"/>
          <w:sz w:val="28"/>
          <w:szCs w:val="28"/>
          <w:lang w:eastAsia="zh-TW"/>
        </w:rPr>
        <w:t>使用</w:t>
      </w:r>
      <w:r w:rsidRPr="006A1E48">
        <w:rPr>
          <w:rFonts w:ascii="Times New Roman" w:eastAsia="標楷體" w:hAnsi="Times New Roman" w:hint="eastAsia"/>
          <w:sz w:val="28"/>
          <w:szCs w:val="28"/>
        </w:rPr>
        <w:t>數量</w:t>
      </w:r>
      <w:r w:rsidR="00655A6F" w:rsidRPr="00655A6F">
        <w:rPr>
          <w:rFonts w:ascii="Times New Roman" w:eastAsia="標楷體" w:hAnsi="Times New Roman" w:hint="eastAsia"/>
          <w:sz w:val="28"/>
          <w:szCs w:val="28"/>
        </w:rPr>
        <w:t>、種類及區位</w:t>
      </w:r>
      <w:r w:rsidRPr="006A1E48">
        <w:rPr>
          <w:rFonts w:ascii="Times New Roman" w:eastAsia="標楷體" w:hAnsi="Times New Roman"/>
          <w:sz w:val="28"/>
          <w:szCs w:val="28"/>
        </w:rPr>
        <w:t>，</w:t>
      </w:r>
      <w:r w:rsidRPr="006A1E48">
        <w:rPr>
          <w:rFonts w:ascii="Times New Roman" w:eastAsia="標楷體" w:hAnsi="Times New Roman" w:hint="eastAsia"/>
          <w:sz w:val="28"/>
          <w:szCs w:val="28"/>
        </w:rPr>
        <w:t>應以</w:t>
      </w:r>
      <w:r w:rsidRPr="006A1E48">
        <w:rPr>
          <w:rFonts w:ascii="Times New Roman" w:eastAsia="標楷體" w:hAnsi="Times New Roman" w:hint="eastAsia"/>
          <w:bCs/>
          <w:sz w:val="28"/>
          <w:szCs w:val="28"/>
        </w:rPr>
        <w:t>能源開發政策為基礎計算全國分期分區裝置容量，並</w:t>
      </w:r>
      <w:r w:rsidRPr="006A1E48">
        <w:rPr>
          <w:rFonts w:ascii="Times New Roman" w:eastAsia="標楷體" w:hAnsi="Times New Roman"/>
          <w:sz w:val="28"/>
          <w:szCs w:val="28"/>
        </w:rPr>
        <w:t>符合下列規定：</w:t>
      </w:r>
    </w:p>
    <w:p w:rsidR="00477E93" w:rsidRDefault="009871F6" w:rsidP="002973D7">
      <w:pPr>
        <w:pStyle w:val="a9"/>
        <w:numPr>
          <w:ilvl w:val="0"/>
          <w:numId w:val="5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不得超過申請期別該種類能源可供申請裝置容量。</w:t>
      </w:r>
    </w:p>
    <w:p w:rsidR="009871F6" w:rsidRPr="00477E93" w:rsidRDefault="009871F6" w:rsidP="002973D7">
      <w:pPr>
        <w:pStyle w:val="a9"/>
        <w:numPr>
          <w:ilvl w:val="0"/>
          <w:numId w:val="5"/>
        </w:numPr>
        <w:tabs>
          <w:tab w:val="left" w:pos="844"/>
        </w:tabs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/>
          <w:sz w:val="28"/>
          <w:szCs w:val="28"/>
        </w:rPr>
        <w:t>不得超過申請期別該區位可供申請裝置容量。</w:t>
      </w:r>
    </w:p>
    <w:p w:rsidR="00294186" w:rsidRPr="006A1E48" w:rsidRDefault="00294186" w:rsidP="00EF0F6B">
      <w:pPr>
        <w:adjustRightInd w:val="0"/>
        <w:snapToGrid w:val="0"/>
        <w:spacing w:line="460" w:lineRule="exact"/>
        <w:ind w:left="840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 xml:space="preserve">　　</w:t>
      </w:r>
      <w:r w:rsidR="009871F6" w:rsidRPr="006A1E48">
        <w:rPr>
          <w:rFonts w:ascii="Times New Roman" w:eastAsia="標楷體" w:hAnsi="Times New Roman"/>
          <w:sz w:val="28"/>
          <w:szCs w:val="28"/>
        </w:rPr>
        <w:t xml:space="preserve">　　　</w:t>
      </w:r>
      <w:r w:rsidR="009871F6" w:rsidRPr="006A1E48">
        <w:rPr>
          <w:rFonts w:ascii="Times New Roman" w:eastAsia="標楷體" w:hAnsi="Times New Roman" w:hint="eastAsia"/>
          <w:sz w:val="28"/>
          <w:szCs w:val="28"/>
        </w:rPr>
        <w:t>前</w:t>
      </w:r>
      <w:r w:rsidR="009871F6" w:rsidRPr="006A1E48">
        <w:rPr>
          <w:rFonts w:ascii="Times New Roman" w:eastAsia="標楷體" w:hAnsi="Times New Roman"/>
          <w:sz w:val="28"/>
          <w:szCs w:val="28"/>
        </w:rPr>
        <w:t>項</w:t>
      </w:r>
      <w:r w:rsidR="009871F6" w:rsidRPr="006A1E48">
        <w:rPr>
          <w:rFonts w:ascii="Times New Roman" w:eastAsia="標楷體" w:hAnsi="Times New Roman" w:hint="eastAsia"/>
          <w:sz w:val="28"/>
          <w:szCs w:val="28"/>
        </w:rPr>
        <w:t>區位，以能源用戶申請新設或擴建能源使用設施輸電線路</w:t>
      </w:r>
      <w:r w:rsidR="009871F6" w:rsidRPr="006A1E48">
        <w:rPr>
          <w:rFonts w:ascii="Times New Roman" w:eastAsia="標楷體" w:hAnsi="Times New Roman"/>
          <w:sz w:val="28"/>
          <w:szCs w:val="28"/>
        </w:rPr>
        <w:t>與電力網併聯</w:t>
      </w:r>
      <w:r w:rsidR="009871F6" w:rsidRPr="006A1E48">
        <w:rPr>
          <w:rFonts w:ascii="Times New Roman" w:eastAsia="標楷體" w:hAnsi="Times New Roman" w:hint="eastAsia"/>
          <w:sz w:val="28"/>
          <w:szCs w:val="28"/>
        </w:rPr>
        <w:t>點認定之。</w:t>
      </w:r>
    </w:p>
    <w:p w:rsidR="009871F6" w:rsidRPr="006A1E48" w:rsidRDefault="009871F6" w:rsidP="00EF0F6B">
      <w:pPr>
        <w:adjustRightInd w:val="0"/>
        <w:snapToGrid w:val="0"/>
        <w:spacing w:line="460" w:lineRule="exact"/>
        <w:ind w:left="840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</w:t>
      </w:r>
      <w:r w:rsidRPr="006A1E48">
        <w:rPr>
          <w:rFonts w:ascii="Times New Roman" w:eastAsia="標楷體" w:hAnsi="Times New Roman" w:hint="eastAsia"/>
          <w:sz w:val="28"/>
          <w:szCs w:val="28"/>
        </w:rPr>
        <w:t>六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 w:hint="eastAsia"/>
          <w:sz w:val="28"/>
          <w:szCs w:val="28"/>
        </w:rPr>
        <w:t>為確保全國電力供應穩定及安全，能源用戶屬電力類有下列情形之一者，不受前條之限制：</w:t>
      </w:r>
    </w:p>
    <w:p w:rsidR="00477E93" w:rsidRDefault="009871F6" w:rsidP="002973D7">
      <w:pPr>
        <w:pStyle w:val="a9"/>
        <w:numPr>
          <w:ilvl w:val="0"/>
          <w:numId w:val="6"/>
        </w:numPr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 w:hint="eastAsia"/>
          <w:sz w:val="28"/>
          <w:szCs w:val="28"/>
        </w:rPr>
        <w:t>因區位屬離島，且其</w:t>
      </w:r>
      <w:r w:rsidRPr="00477E93">
        <w:rPr>
          <w:rFonts w:ascii="Times New Roman" w:eastAsia="標楷體" w:hAnsi="Times New Roman"/>
          <w:sz w:val="28"/>
          <w:szCs w:val="28"/>
        </w:rPr>
        <w:t>裝置容量</w:t>
      </w:r>
      <w:r w:rsidRPr="00477E93">
        <w:rPr>
          <w:rFonts w:ascii="Times New Roman" w:eastAsia="標楷體" w:hAnsi="Times New Roman" w:hint="eastAsia"/>
          <w:sz w:val="28"/>
          <w:szCs w:val="28"/>
        </w:rPr>
        <w:t>未</w:t>
      </w:r>
      <w:r w:rsidRPr="00477E93">
        <w:rPr>
          <w:rFonts w:ascii="Times New Roman" w:eastAsia="標楷體" w:hAnsi="Times New Roman"/>
          <w:sz w:val="28"/>
          <w:szCs w:val="28"/>
        </w:rPr>
        <w:t>納入</w:t>
      </w:r>
      <w:r w:rsidRPr="00477E93">
        <w:rPr>
          <w:rFonts w:ascii="Times New Roman" w:eastAsia="標楷體" w:hAnsi="Times New Roman" w:hint="eastAsia"/>
          <w:sz w:val="28"/>
          <w:szCs w:val="28"/>
        </w:rPr>
        <w:t>全</w:t>
      </w:r>
      <w:r w:rsidRPr="00477E93">
        <w:rPr>
          <w:rFonts w:ascii="Times New Roman" w:eastAsia="標楷體" w:hAnsi="Times New Roman"/>
          <w:sz w:val="28"/>
          <w:szCs w:val="28"/>
        </w:rPr>
        <w:t>國</w:t>
      </w:r>
      <w:r w:rsidRPr="00477E93">
        <w:rPr>
          <w:rFonts w:ascii="Times New Roman" w:eastAsia="標楷體" w:hAnsi="Times New Roman" w:hint="eastAsia"/>
          <w:sz w:val="28"/>
          <w:szCs w:val="28"/>
        </w:rPr>
        <w:t>分</w:t>
      </w:r>
      <w:r w:rsidRPr="00477E93">
        <w:rPr>
          <w:rFonts w:ascii="Times New Roman" w:eastAsia="標楷體" w:hAnsi="Times New Roman"/>
          <w:sz w:val="28"/>
          <w:szCs w:val="28"/>
        </w:rPr>
        <w:t>期分</w:t>
      </w:r>
      <w:r w:rsidRPr="00477E93">
        <w:rPr>
          <w:rFonts w:ascii="Times New Roman" w:eastAsia="標楷體" w:hAnsi="Times New Roman" w:hint="eastAsia"/>
          <w:sz w:val="28"/>
          <w:szCs w:val="28"/>
        </w:rPr>
        <w:t>區</w:t>
      </w:r>
      <w:r w:rsidRPr="00477E93">
        <w:rPr>
          <w:rFonts w:ascii="Times New Roman" w:eastAsia="標楷體" w:hAnsi="Times New Roman"/>
          <w:sz w:val="28"/>
          <w:szCs w:val="28"/>
        </w:rPr>
        <w:t>裝置容量。</w:t>
      </w:r>
    </w:p>
    <w:p w:rsidR="009871F6" w:rsidRPr="00477E93" w:rsidRDefault="009871F6" w:rsidP="002973D7">
      <w:pPr>
        <w:pStyle w:val="a9"/>
        <w:numPr>
          <w:ilvl w:val="0"/>
          <w:numId w:val="6"/>
        </w:numPr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 w:hint="eastAsia"/>
          <w:sz w:val="28"/>
          <w:szCs w:val="28"/>
        </w:rPr>
        <w:t>能源使用說明書所載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規劃</w:t>
      </w:r>
      <w:r w:rsidRPr="00477E93">
        <w:rPr>
          <w:rFonts w:ascii="Times New Roman" w:eastAsia="標楷體" w:hAnsi="Times New Roman" w:hint="eastAsia"/>
          <w:sz w:val="28"/>
          <w:szCs w:val="28"/>
        </w:rPr>
        <w:t>商轉年之備用容量率預估值，低於備用容量率基準值。</w:t>
      </w:r>
    </w:p>
    <w:p w:rsidR="009871F6" w:rsidRPr="006A1E48" w:rsidRDefault="009871F6" w:rsidP="00EA2D72">
      <w:pPr>
        <w:adjustRightInd w:val="0"/>
        <w:snapToGrid w:val="0"/>
        <w:spacing w:line="460" w:lineRule="exact"/>
        <w:ind w:leftChars="5" w:left="852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</w:t>
      </w:r>
      <w:r w:rsidRPr="006A1E48">
        <w:rPr>
          <w:rFonts w:ascii="Times New Roman" w:eastAsia="標楷體" w:hAnsi="Times New Roman" w:hint="eastAsia"/>
          <w:sz w:val="28"/>
          <w:szCs w:val="28"/>
        </w:rPr>
        <w:t>七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能源用戶屬</w:t>
      </w:r>
      <w:r w:rsidRPr="006A1E48">
        <w:rPr>
          <w:rFonts w:ascii="Times New Roman" w:eastAsia="標楷體" w:hAnsi="Times New Roman"/>
          <w:sz w:val="28"/>
          <w:szCs w:val="28"/>
        </w:rPr>
        <w:t>電力</w:t>
      </w:r>
      <w:r w:rsidR="00B15BAF">
        <w:rPr>
          <w:rFonts w:ascii="Times New Roman" w:eastAsia="標楷體" w:hAnsi="Times New Roman" w:hint="eastAsia"/>
          <w:sz w:val="28"/>
          <w:szCs w:val="28"/>
        </w:rPr>
        <w:t>類</w:t>
      </w:r>
      <w:r w:rsidRPr="006A1E48">
        <w:rPr>
          <w:rFonts w:ascii="Times New Roman" w:eastAsia="標楷體" w:hAnsi="Times New Roman"/>
          <w:sz w:val="28"/>
          <w:szCs w:val="28"/>
        </w:rPr>
        <w:t>或汽電共生類</w:t>
      </w:r>
      <w:r w:rsidRPr="006A1E48">
        <w:rPr>
          <w:rFonts w:ascii="Times New Roman" w:eastAsia="標楷體" w:hAnsi="Times New Roman" w:hint="eastAsia"/>
          <w:sz w:val="28"/>
          <w:szCs w:val="28"/>
        </w:rPr>
        <w:t>者，其效率之內容，應符合下列</w:t>
      </w:r>
      <w:r w:rsidR="006C00C4" w:rsidRPr="006A1E48">
        <w:rPr>
          <w:rFonts w:ascii="Times New Roman" w:eastAsia="標楷體" w:hAnsi="Times New Roman" w:hint="eastAsia"/>
          <w:sz w:val="28"/>
          <w:szCs w:val="28"/>
        </w:rPr>
        <w:t>最佳可行技術</w:t>
      </w:r>
      <w:r w:rsidRPr="006A1E48">
        <w:rPr>
          <w:rFonts w:ascii="Times New Roman" w:eastAsia="標楷體" w:hAnsi="Times New Roman" w:hint="eastAsia"/>
          <w:sz w:val="28"/>
          <w:szCs w:val="28"/>
        </w:rPr>
        <w:t>規定：</w:t>
      </w:r>
    </w:p>
    <w:p w:rsidR="00477E93" w:rsidRDefault="009871F6" w:rsidP="002973D7">
      <w:pPr>
        <w:pStyle w:val="a9"/>
        <w:numPr>
          <w:ilvl w:val="0"/>
          <w:numId w:val="7"/>
        </w:numPr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 w:hint="eastAsia"/>
          <w:sz w:val="28"/>
          <w:szCs w:val="28"/>
        </w:rPr>
        <w:t>公用設備項目（如附表一）。</w:t>
      </w:r>
    </w:p>
    <w:p w:rsidR="009871F6" w:rsidRPr="00477E93" w:rsidRDefault="009871F6" w:rsidP="002973D7">
      <w:pPr>
        <w:pStyle w:val="a9"/>
        <w:numPr>
          <w:ilvl w:val="0"/>
          <w:numId w:val="7"/>
        </w:numPr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477E93">
        <w:rPr>
          <w:rFonts w:ascii="Times New Roman" w:eastAsia="標楷體" w:hAnsi="Times New Roman" w:hint="eastAsia"/>
          <w:sz w:val="28"/>
          <w:szCs w:val="28"/>
        </w:rPr>
        <w:t>電力</w:t>
      </w:r>
      <w:r w:rsidR="00B15BAF" w:rsidRPr="00477E93">
        <w:rPr>
          <w:rFonts w:ascii="Times New Roman" w:eastAsia="標楷體" w:hAnsi="Times New Roman" w:hint="eastAsia"/>
          <w:sz w:val="28"/>
          <w:szCs w:val="28"/>
        </w:rPr>
        <w:t>類</w:t>
      </w:r>
      <w:r w:rsidRPr="00477E93">
        <w:rPr>
          <w:rFonts w:ascii="Times New Roman" w:eastAsia="標楷體" w:hAnsi="Times New Roman" w:hint="eastAsia"/>
          <w:sz w:val="28"/>
          <w:szCs w:val="28"/>
        </w:rPr>
        <w:t>或汽電共生類製程技術項目（如附表二）。</w:t>
      </w:r>
    </w:p>
    <w:p w:rsidR="002911FA" w:rsidRPr="006A1E48" w:rsidRDefault="009871F6" w:rsidP="00EF0F6B">
      <w:pPr>
        <w:adjustRightInd w:val="0"/>
        <w:snapToGrid w:val="0"/>
        <w:spacing w:line="460" w:lineRule="exact"/>
        <w:ind w:left="840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lastRenderedPageBreak/>
        <w:t xml:space="preserve">　　　</w:t>
      </w:r>
      <w:r w:rsidR="00294186" w:rsidRPr="006A1E48">
        <w:rPr>
          <w:rFonts w:ascii="Times New Roman" w:eastAsia="標楷體" w:hAnsi="Times New Roman"/>
          <w:sz w:val="28"/>
          <w:szCs w:val="28"/>
        </w:rPr>
        <w:t xml:space="preserve">　　</w:t>
      </w:r>
      <w:r w:rsidRPr="006A1E48">
        <w:rPr>
          <w:rFonts w:ascii="Times New Roman" w:eastAsia="標楷體" w:hAnsi="Times New Roman" w:hint="eastAsia"/>
          <w:sz w:val="28"/>
          <w:szCs w:val="28"/>
        </w:rPr>
        <w:t>前項規定</w:t>
      </w:r>
      <w:r w:rsidR="00261B7A">
        <w:rPr>
          <w:rFonts w:ascii="標楷體" w:eastAsia="標楷體" w:hAnsi="標楷體" w:hint="eastAsia"/>
          <w:sz w:val="28"/>
          <w:szCs w:val="28"/>
        </w:rPr>
        <w:t>，</w:t>
      </w:r>
      <w:r w:rsidRPr="006A1E48">
        <w:rPr>
          <w:rFonts w:ascii="Times New Roman" w:eastAsia="標楷體" w:hAnsi="Times New Roman" w:hint="eastAsia"/>
          <w:sz w:val="28"/>
          <w:szCs w:val="28"/>
        </w:rPr>
        <w:t>因法規限制、專利權保護、國際貿易障礙或其他不可歸責於申請人</w:t>
      </w:r>
      <w:r w:rsidR="001F2F43">
        <w:rPr>
          <w:rFonts w:ascii="Times New Roman" w:eastAsia="標楷體" w:hAnsi="Times New Roman" w:hint="eastAsia"/>
          <w:sz w:val="28"/>
          <w:szCs w:val="28"/>
        </w:rPr>
        <w:t>之</w:t>
      </w:r>
      <w:r w:rsidRPr="006A1E48">
        <w:rPr>
          <w:rFonts w:ascii="Times New Roman" w:eastAsia="標楷體" w:hAnsi="Times New Roman" w:hint="eastAsia"/>
          <w:sz w:val="28"/>
          <w:szCs w:val="28"/>
        </w:rPr>
        <w:t>事由，經提出資料佐證者，不適用之。</w:t>
      </w:r>
    </w:p>
    <w:p w:rsidR="009871F6" w:rsidRPr="006A1E48" w:rsidRDefault="009871F6" w:rsidP="00EF0F6B">
      <w:pPr>
        <w:adjustRightInd w:val="0"/>
        <w:snapToGrid w:val="0"/>
        <w:spacing w:line="460" w:lineRule="exact"/>
        <w:ind w:left="840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</w:t>
      </w:r>
      <w:r w:rsidRPr="006A1E48">
        <w:rPr>
          <w:rFonts w:ascii="Times New Roman" w:eastAsia="標楷體" w:hAnsi="Times New Roman" w:hint="eastAsia"/>
          <w:sz w:val="28"/>
          <w:szCs w:val="28"/>
        </w:rPr>
        <w:t>八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能源用戶屬</w:t>
      </w:r>
      <w:r w:rsidRPr="006A1E48">
        <w:rPr>
          <w:rFonts w:ascii="Times New Roman" w:eastAsia="標楷體" w:hAnsi="Times New Roman"/>
          <w:sz w:val="28"/>
          <w:szCs w:val="28"/>
        </w:rPr>
        <w:t>石油煉製</w:t>
      </w:r>
      <w:r w:rsidR="00B15BAF" w:rsidRPr="006A1E48">
        <w:rPr>
          <w:rFonts w:ascii="Times New Roman" w:eastAsia="標楷體" w:hAnsi="Times New Roman"/>
          <w:sz w:val="28"/>
          <w:szCs w:val="28"/>
        </w:rPr>
        <w:t>類</w:t>
      </w:r>
      <w:r w:rsidRPr="006A1E48">
        <w:rPr>
          <w:rFonts w:ascii="Times New Roman" w:eastAsia="標楷體" w:hAnsi="Times New Roman"/>
          <w:sz w:val="28"/>
          <w:szCs w:val="28"/>
        </w:rPr>
        <w:t>或能源使用類</w:t>
      </w:r>
      <w:r w:rsidRPr="006A1E48">
        <w:rPr>
          <w:rFonts w:ascii="Times New Roman" w:eastAsia="標楷體" w:hAnsi="Times New Roman" w:hint="eastAsia"/>
          <w:sz w:val="28"/>
          <w:szCs w:val="28"/>
        </w:rPr>
        <w:t>者，其申請之</w:t>
      </w:r>
      <w:r w:rsidR="00B15BAF">
        <w:rPr>
          <w:rFonts w:ascii="Times New Roman" w:eastAsia="標楷體" w:hAnsi="Times New Roman" w:hint="eastAsia"/>
          <w:sz w:val="28"/>
          <w:szCs w:val="28"/>
        </w:rPr>
        <w:t>使用</w:t>
      </w:r>
      <w:r w:rsidRPr="006A1E48">
        <w:rPr>
          <w:rFonts w:ascii="Times New Roman" w:eastAsia="標楷體" w:hAnsi="Times New Roman" w:hint="eastAsia"/>
          <w:sz w:val="28"/>
          <w:szCs w:val="28"/>
        </w:rPr>
        <w:t>數量</w:t>
      </w:r>
      <w:r w:rsidR="00655A6F" w:rsidRPr="00655A6F">
        <w:rPr>
          <w:rFonts w:ascii="Times New Roman" w:eastAsia="標楷體" w:hAnsi="Times New Roman" w:hint="eastAsia"/>
          <w:sz w:val="28"/>
          <w:szCs w:val="28"/>
        </w:rPr>
        <w:t>、種類及區位</w:t>
      </w:r>
      <w:r w:rsidRPr="006A1E48">
        <w:rPr>
          <w:rFonts w:ascii="Times New Roman" w:eastAsia="標楷體" w:hAnsi="Times New Roman"/>
          <w:sz w:val="28"/>
          <w:szCs w:val="28"/>
        </w:rPr>
        <w:t>，應符合下列規定：</w:t>
      </w:r>
    </w:p>
    <w:p w:rsidR="00611236" w:rsidRDefault="009871F6" w:rsidP="002973D7">
      <w:pPr>
        <w:pStyle w:val="a9"/>
        <w:numPr>
          <w:ilvl w:val="0"/>
          <w:numId w:val="8"/>
        </w:numPr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611236">
        <w:rPr>
          <w:rFonts w:ascii="Times New Roman" w:eastAsia="標楷體" w:hAnsi="Times New Roman"/>
          <w:sz w:val="28"/>
          <w:szCs w:val="28"/>
        </w:rPr>
        <w:t>能源使用說明書所載電業</w:t>
      </w:r>
      <w:r w:rsidRPr="00611236">
        <w:rPr>
          <w:rFonts w:ascii="Times New Roman" w:eastAsia="標楷體" w:hAnsi="Times New Roman" w:hint="eastAsia"/>
          <w:sz w:val="28"/>
          <w:szCs w:val="28"/>
        </w:rPr>
        <w:t>之供電容量</w:t>
      </w:r>
      <w:r w:rsidRPr="00611236">
        <w:rPr>
          <w:rFonts w:ascii="Times New Roman" w:eastAsia="標楷體" w:hAnsi="Times New Roman"/>
          <w:sz w:val="28"/>
          <w:szCs w:val="28"/>
        </w:rPr>
        <w:t>，應</w:t>
      </w:r>
      <w:r w:rsidRPr="00611236">
        <w:rPr>
          <w:rFonts w:ascii="Times New Roman" w:eastAsia="標楷體" w:hAnsi="Times New Roman" w:hint="eastAsia"/>
          <w:sz w:val="28"/>
          <w:szCs w:val="28"/>
        </w:rPr>
        <w:t>檢</w:t>
      </w:r>
      <w:r w:rsidRPr="00611236">
        <w:rPr>
          <w:rFonts w:ascii="Times New Roman" w:eastAsia="標楷體" w:hAnsi="Times New Roman"/>
          <w:sz w:val="28"/>
          <w:szCs w:val="28"/>
        </w:rPr>
        <w:t>具電業</w:t>
      </w:r>
      <w:r w:rsidRPr="00611236">
        <w:rPr>
          <w:rFonts w:ascii="Times New Roman" w:eastAsia="標楷體" w:hAnsi="Times New Roman" w:hint="eastAsia"/>
          <w:sz w:val="28"/>
          <w:szCs w:val="28"/>
        </w:rPr>
        <w:t>所發給</w:t>
      </w:r>
      <w:r w:rsidRPr="00611236">
        <w:rPr>
          <w:rFonts w:ascii="Times New Roman" w:eastAsia="標楷體" w:hAnsi="Times New Roman"/>
          <w:sz w:val="28"/>
          <w:szCs w:val="28"/>
        </w:rPr>
        <w:t>之用電計畫書同意核供函</w:t>
      </w:r>
      <w:r w:rsidRPr="00611236">
        <w:rPr>
          <w:rFonts w:ascii="Times New Roman" w:eastAsia="標楷體" w:hAnsi="Times New Roman" w:hint="eastAsia"/>
          <w:sz w:val="28"/>
          <w:szCs w:val="28"/>
        </w:rPr>
        <w:t>，且不得超過其</w:t>
      </w:r>
      <w:r w:rsidRPr="00611236">
        <w:rPr>
          <w:rFonts w:ascii="Times New Roman" w:eastAsia="標楷體" w:hAnsi="Times New Roman"/>
          <w:sz w:val="28"/>
          <w:szCs w:val="28"/>
        </w:rPr>
        <w:t>所同意</w:t>
      </w:r>
      <w:r w:rsidRPr="00611236">
        <w:rPr>
          <w:rFonts w:ascii="Times New Roman" w:eastAsia="標楷體" w:hAnsi="Times New Roman" w:hint="eastAsia"/>
          <w:sz w:val="28"/>
          <w:szCs w:val="28"/>
        </w:rPr>
        <w:t>之供電容量</w:t>
      </w:r>
      <w:r w:rsidRPr="00611236">
        <w:rPr>
          <w:rFonts w:ascii="Times New Roman" w:eastAsia="標楷體" w:hAnsi="Times New Roman"/>
          <w:sz w:val="28"/>
          <w:szCs w:val="28"/>
        </w:rPr>
        <w:t>。</w:t>
      </w:r>
    </w:p>
    <w:p w:rsidR="009871F6" w:rsidRPr="00611236" w:rsidRDefault="009871F6" w:rsidP="002973D7">
      <w:pPr>
        <w:pStyle w:val="a9"/>
        <w:numPr>
          <w:ilvl w:val="0"/>
          <w:numId w:val="8"/>
        </w:numPr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611236">
        <w:rPr>
          <w:rFonts w:ascii="Times New Roman" w:eastAsia="標楷體" w:hAnsi="Times New Roman"/>
          <w:sz w:val="28"/>
          <w:szCs w:val="28"/>
        </w:rPr>
        <w:t>能源使用說明書所載</w:t>
      </w:r>
      <w:r w:rsidRPr="00611236">
        <w:rPr>
          <w:rFonts w:ascii="Times New Roman" w:eastAsia="標楷體" w:hAnsi="Times New Roman" w:hint="eastAsia"/>
          <w:sz w:val="28"/>
          <w:szCs w:val="28"/>
        </w:rPr>
        <w:t>自用發電設備之供電容量</w:t>
      </w:r>
      <w:r w:rsidRPr="00611236">
        <w:rPr>
          <w:rFonts w:ascii="Times New Roman" w:eastAsia="標楷體" w:hAnsi="Times New Roman"/>
          <w:sz w:val="28"/>
          <w:szCs w:val="28"/>
        </w:rPr>
        <w:t>，</w:t>
      </w:r>
      <w:r w:rsidRPr="00611236">
        <w:rPr>
          <w:rFonts w:ascii="Times New Roman" w:eastAsia="標楷體" w:hAnsi="Times New Roman" w:hint="eastAsia"/>
          <w:sz w:val="28"/>
          <w:szCs w:val="28"/>
        </w:rPr>
        <w:t>應提出佐證資料，說明自用發電設備供電無虞。</w:t>
      </w:r>
    </w:p>
    <w:p w:rsidR="009871F6" w:rsidRPr="006A1E48" w:rsidRDefault="009871F6" w:rsidP="00EF0F6B">
      <w:pPr>
        <w:adjustRightInd w:val="0"/>
        <w:snapToGrid w:val="0"/>
        <w:spacing w:line="460" w:lineRule="exact"/>
        <w:ind w:leftChars="5" w:left="852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</w:t>
      </w:r>
      <w:r w:rsidRPr="006A1E48">
        <w:rPr>
          <w:rFonts w:ascii="Times New Roman" w:eastAsia="標楷體" w:hAnsi="Times New Roman" w:hint="eastAsia"/>
          <w:sz w:val="28"/>
          <w:szCs w:val="28"/>
        </w:rPr>
        <w:t>九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能源用戶屬</w:t>
      </w:r>
      <w:r w:rsidRPr="006A1E48">
        <w:rPr>
          <w:rFonts w:ascii="Times New Roman" w:eastAsia="標楷體" w:hAnsi="Times New Roman"/>
          <w:sz w:val="28"/>
          <w:szCs w:val="28"/>
        </w:rPr>
        <w:t>石油煉製</w:t>
      </w:r>
      <w:r w:rsidR="00B15BAF" w:rsidRPr="006A1E48">
        <w:rPr>
          <w:rFonts w:ascii="Times New Roman" w:eastAsia="標楷體" w:hAnsi="Times New Roman"/>
          <w:sz w:val="28"/>
          <w:szCs w:val="28"/>
        </w:rPr>
        <w:t>類</w:t>
      </w:r>
      <w:r w:rsidRPr="006A1E48">
        <w:rPr>
          <w:rFonts w:ascii="Times New Roman" w:eastAsia="標楷體" w:hAnsi="Times New Roman"/>
          <w:sz w:val="28"/>
          <w:szCs w:val="28"/>
        </w:rPr>
        <w:t>或能源使用類</w:t>
      </w:r>
      <w:r w:rsidRPr="006A1E48">
        <w:rPr>
          <w:rFonts w:ascii="Times New Roman" w:eastAsia="標楷體" w:hAnsi="Times New Roman" w:hint="eastAsia"/>
          <w:sz w:val="28"/>
          <w:szCs w:val="28"/>
        </w:rPr>
        <w:t>者，其效率之內容，應符合下列</w:t>
      </w:r>
      <w:r w:rsidR="006C00C4" w:rsidRPr="006A1E48">
        <w:rPr>
          <w:rFonts w:ascii="Times New Roman" w:eastAsia="標楷體" w:hAnsi="Times New Roman" w:hint="eastAsia"/>
          <w:sz w:val="28"/>
          <w:szCs w:val="28"/>
        </w:rPr>
        <w:t>最佳可行技術</w:t>
      </w:r>
      <w:r w:rsidRPr="006A1E48">
        <w:rPr>
          <w:rFonts w:ascii="Times New Roman" w:eastAsia="標楷體" w:hAnsi="Times New Roman" w:hint="eastAsia"/>
          <w:sz w:val="28"/>
          <w:szCs w:val="28"/>
        </w:rPr>
        <w:t>規定：</w:t>
      </w:r>
    </w:p>
    <w:p w:rsidR="00B6666B" w:rsidRDefault="009871F6" w:rsidP="002973D7">
      <w:pPr>
        <w:pStyle w:val="a9"/>
        <w:numPr>
          <w:ilvl w:val="0"/>
          <w:numId w:val="9"/>
        </w:numPr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B6666B">
        <w:rPr>
          <w:rFonts w:ascii="Times New Roman" w:eastAsia="標楷體" w:hAnsi="Times New Roman" w:hint="eastAsia"/>
          <w:sz w:val="28"/>
          <w:szCs w:val="28"/>
        </w:rPr>
        <w:t>公用設備項目（如附表一）。</w:t>
      </w:r>
    </w:p>
    <w:p w:rsidR="009871F6" w:rsidRPr="00B6666B" w:rsidRDefault="009871F6" w:rsidP="002973D7">
      <w:pPr>
        <w:pStyle w:val="a9"/>
        <w:numPr>
          <w:ilvl w:val="0"/>
          <w:numId w:val="9"/>
        </w:numPr>
        <w:adjustRightInd w:val="0"/>
        <w:snapToGrid w:val="0"/>
        <w:spacing w:line="460" w:lineRule="exact"/>
        <w:ind w:leftChars="0" w:left="2002" w:rightChars="32" w:right="77" w:hanging="573"/>
        <w:jc w:val="both"/>
        <w:rPr>
          <w:rFonts w:ascii="Times New Roman" w:eastAsia="標楷體" w:hAnsi="Times New Roman"/>
          <w:sz w:val="28"/>
          <w:szCs w:val="28"/>
        </w:rPr>
      </w:pPr>
      <w:r w:rsidRPr="00B6666B">
        <w:rPr>
          <w:rFonts w:ascii="Times New Roman" w:eastAsia="標楷體" w:hAnsi="Times New Roman" w:hint="eastAsia"/>
          <w:sz w:val="28"/>
          <w:szCs w:val="28"/>
        </w:rPr>
        <w:t>製程技術項目：</w:t>
      </w:r>
    </w:p>
    <w:p w:rsidR="002E1DFA" w:rsidRPr="003265F5" w:rsidRDefault="003265F5" w:rsidP="003E6A0D">
      <w:pPr>
        <w:adjustRightInd w:val="0"/>
        <w:snapToGrid w:val="0"/>
        <w:spacing w:line="460" w:lineRule="exact"/>
        <w:ind w:left="2551" w:rightChars="32" w:right="77" w:hangingChars="911" w:hanging="2551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 xml:space="preserve">　　</w:t>
      </w:r>
      <w:r>
        <w:rPr>
          <w:rFonts w:ascii="Times New Roman" w:eastAsia="標楷體" w:hAnsi="Times New Roman"/>
          <w:sz w:val="28"/>
          <w:szCs w:val="28"/>
        </w:rPr>
        <w:t xml:space="preserve">　　</w:t>
      </w:r>
      <w:r w:rsidRPr="001D103D">
        <w:rPr>
          <w:rFonts w:ascii="Times New Roman" w:eastAsia="標楷體" w:hAnsi="Times New Roman"/>
          <w:sz w:val="28"/>
          <w:szCs w:val="28"/>
        </w:rPr>
        <w:t xml:space="preserve">　</w:t>
      </w:r>
      <w:r w:rsidR="001D103D" w:rsidRPr="001D103D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 w:hint="eastAsia"/>
          <w:sz w:val="28"/>
          <w:szCs w:val="28"/>
        </w:rPr>
        <w:t>（一）</w:t>
      </w:r>
      <w:r w:rsidR="009871F6" w:rsidRPr="003265F5">
        <w:rPr>
          <w:rFonts w:ascii="Times New Roman" w:eastAsia="標楷體" w:hAnsi="Times New Roman" w:hint="eastAsia"/>
          <w:sz w:val="28"/>
          <w:szCs w:val="28"/>
        </w:rPr>
        <w:t>石油煉製</w:t>
      </w:r>
      <w:r w:rsidR="00B15BAF" w:rsidRPr="003265F5">
        <w:rPr>
          <w:rFonts w:ascii="Times New Roman" w:eastAsia="標楷體" w:hAnsi="Times New Roman"/>
          <w:sz w:val="28"/>
          <w:szCs w:val="28"/>
        </w:rPr>
        <w:t>類</w:t>
      </w:r>
      <w:r w:rsidR="009871F6" w:rsidRPr="003265F5">
        <w:rPr>
          <w:rFonts w:ascii="Times New Roman" w:eastAsia="標楷體" w:hAnsi="Times New Roman" w:hint="eastAsia"/>
          <w:sz w:val="28"/>
          <w:szCs w:val="28"/>
        </w:rPr>
        <w:t>或能源使用類製程技術項目（如附表三）。</w:t>
      </w:r>
    </w:p>
    <w:p w:rsidR="009871F6" w:rsidRPr="003265F5" w:rsidRDefault="003265F5" w:rsidP="003265F5">
      <w:pPr>
        <w:adjustRightInd w:val="0"/>
        <w:snapToGrid w:val="0"/>
        <w:spacing w:line="460" w:lineRule="exact"/>
        <w:ind w:rightChars="32" w:right="77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 xml:space="preserve">　　</w:t>
      </w:r>
      <w:r>
        <w:rPr>
          <w:rFonts w:ascii="Times New Roman" w:eastAsia="標楷體" w:hAnsi="Times New Roman"/>
          <w:sz w:val="28"/>
          <w:szCs w:val="28"/>
        </w:rPr>
        <w:t xml:space="preserve">　　　</w:t>
      </w:r>
      <w:r w:rsidR="003E6A0D">
        <w:rPr>
          <w:rFonts w:ascii="Times New Roman" w:eastAsia="標楷體" w:hAnsi="Times New Roman"/>
          <w:sz w:val="28"/>
          <w:szCs w:val="28"/>
        </w:rPr>
        <w:t xml:space="preserve">　</w:t>
      </w:r>
      <w:r>
        <w:rPr>
          <w:rFonts w:ascii="Times New Roman" w:eastAsia="標楷體" w:hAnsi="Times New Roman" w:hint="eastAsia"/>
          <w:sz w:val="28"/>
          <w:szCs w:val="28"/>
        </w:rPr>
        <w:t>（二</w:t>
      </w:r>
      <w:r w:rsidRPr="006A1E48">
        <w:rPr>
          <w:rFonts w:ascii="Times New Roman" w:eastAsia="標楷體" w:hAnsi="Times New Roman" w:hint="eastAsia"/>
          <w:sz w:val="28"/>
          <w:szCs w:val="28"/>
        </w:rPr>
        <w:t>）</w:t>
      </w:r>
      <w:r w:rsidR="009871F6" w:rsidRPr="003265F5">
        <w:rPr>
          <w:rFonts w:ascii="Times New Roman" w:eastAsia="標楷體" w:hAnsi="Times New Roman" w:hint="eastAsia"/>
          <w:sz w:val="28"/>
          <w:szCs w:val="28"/>
        </w:rPr>
        <w:t>半導體或面板產業製程技術</w:t>
      </w:r>
      <w:r w:rsidR="006C00C4" w:rsidRPr="003265F5">
        <w:rPr>
          <w:rFonts w:ascii="Times New Roman" w:eastAsia="標楷體" w:hAnsi="Times New Roman" w:hint="eastAsia"/>
          <w:sz w:val="28"/>
          <w:szCs w:val="28"/>
        </w:rPr>
        <w:t>項目</w:t>
      </w:r>
      <w:r w:rsidR="009871F6" w:rsidRPr="003265F5">
        <w:rPr>
          <w:rFonts w:ascii="Times New Roman" w:eastAsia="標楷體" w:hAnsi="Times New Roman" w:hint="eastAsia"/>
          <w:sz w:val="28"/>
          <w:szCs w:val="28"/>
        </w:rPr>
        <w:t>（如附表四）。</w:t>
      </w:r>
    </w:p>
    <w:p w:rsidR="002911FA" w:rsidRPr="006A1E48" w:rsidRDefault="009871F6" w:rsidP="00EF0F6B">
      <w:pPr>
        <w:adjustRightInd w:val="0"/>
        <w:snapToGrid w:val="0"/>
        <w:spacing w:line="460" w:lineRule="exact"/>
        <w:ind w:left="840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 xml:space="preserve">　　　</w:t>
      </w:r>
      <w:r w:rsidR="002911FA" w:rsidRPr="006A1E48">
        <w:rPr>
          <w:rFonts w:ascii="Times New Roman" w:eastAsia="標楷體" w:hAnsi="Times New Roman"/>
          <w:sz w:val="28"/>
          <w:szCs w:val="28"/>
        </w:rPr>
        <w:t xml:space="preserve">　　</w:t>
      </w:r>
      <w:r w:rsidRPr="006A1E48">
        <w:rPr>
          <w:rFonts w:ascii="Times New Roman" w:eastAsia="標楷體" w:hAnsi="Times New Roman" w:hint="eastAsia"/>
          <w:sz w:val="28"/>
          <w:szCs w:val="28"/>
        </w:rPr>
        <w:t>前項規定</w:t>
      </w:r>
      <w:r w:rsidR="003708D5">
        <w:rPr>
          <w:rFonts w:ascii="標楷體" w:eastAsia="標楷體" w:hAnsi="標楷體" w:hint="eastAsia"/>
          <w:sz w:val="28"/>
          <w:szCs w:val="28"/>
        </w:rPr>
        <w:t>，</w:t>
      </w:r>
      <w:r w:rsidRPr="006A1E48">
        <w:rPr>
          <w:rFonts w:ascii="Times New Roman" w:eastAsia="標楷體" w:hAnsi="Times New Roman" w:hint="eastAsia"/>
          <w:sz w:val="28"/>
          <w:szCs w:val="28"/>
        </w:rPr>
        <w:t>因法規限制、專利權保護、國際貿易障礙或其他不可歸責於申請人</w:t>
      </w:r>
      <w:r w:rsidR="001F2F43">
        <w:rPr>
          <w:rFonts w:ascii="Times New Roman" w:eastAsia="標楷體" w:hAnsi="Times New Roman" w:hint="eastAsia"/>
          <w:sz w:val="28"/>
          <w:szCs w:val="28"/>
        </w:rPr>
        <w:t>之</w:t>
      </w:r>
      <w:r w:rsidRPr="006A1E48">
        <w:rPr>
          <w:rFonts w:ascii="Times New Roman" w:eastAsia="標楷體" w:hAnsi="Times New Roman" w:hint="eastAsia"/>
          <w:sz w:val="28"/>
          <w:szCs w:val="28"/>
        </w:rPr>
        <w:t>事由，經提出資料佐證者，不適用之。</w:t>
      </w:r>
    </w:p>
    <w:p w:rsidR="002911FA" w:rsidRDefault="009871F6" w:rsidP="00EF0F6B">
      <w:pPr>
        <w:adjustRightInd w:val="0"/>
        <w:snapToGrid w:val="0"/>
        <w:spacing w:line="460" w:lineRule="exact"/>
        <w:ind w:left="840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</w:t>
      </w:r>
      <w:r w:rsidRPr="006A1E48">
        <w:rPr>
          <w:rFonts w:ascii="Times New Roman" w:eastAsia="標楷體" w:hAnsi="Times New Roman" w:hint="eastAsia"/>
          <w:sz w:val="28"/>
          <w:szCs w:val="28"/>
        </w:rPr>
        <w:t>十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/>
          <w:sz w:val="28"/>
          <w:szCs w:val="28"/>
        </w:rPr>
        <w:t>能源使用說明書不符</w:t>
      </w:r>
      <w:r w:rsidRPr="006A1E48">
        <w:rPr>
          <w:rFonts w:ascii="Times New Roman" w:eastAsia="標楷體" w:hAnsi="Times New Roman"/>
          <w:bCs/>
          <w:sz w:val="28"/>
          <w:szCs w:val="28"/>
        </w:rPr>
        <w:t>本法第十六條第四項</w:t>
      </w:r>
      <w:r w:rsidR="003708D5">
        <w:rPr>
          <w:rFonts w:ascii="Times New Roman" w:eastAsia="標楷體" w:hAnsi="Times New Roman" w:hint="eastAsia"/>
          <w:bCs/>
          <w:sz w:val="28"/>
          <w:szCs w:val="28"/>
        </w:rPr>
        <w:t>規定</w:t>
      </w:r>
      <w:r w:rsidRPr="006A1E48">
        <w:rPr>
          <w:rFonts w:ascii="Times New Roman" w:eastAsia="標楷體" w:hAnsi="Times New Roman"/>
          <w:sz w:val="28"/>
          <w:szCs w:val="28"/>
        </w:rPr>
        <w:t>公告之格式</w:t>
      </w:r>
      <w:r w:rsidR="004D4FF7">
        <w:rPr>
          <w:rFonts w:ascii="Times New Roman" w:eastAsia="標楷體" w:hAnsi="Times New Roman" w:hint="eastAsia"/>
          <w:sz w:val="28"/>
          <w:szCs w:val="28"/>
        </w:rPr>
        <w:t>及應記載事項</w:t>
      </w:r>
      <w:r w:rsidRPr="006A1E48">
        <w:rPr>
          <w:rFonts w:ascii="Times New Roman" w:eastAsia="標楷體" w:hAnsi="Times New Roman" w:hint="eastAsia"/>
          <w:sz w:val="28"/>
          <w:szCs w:val="28"/>
        </w:rPr>
        <w:t>、申請案文件不全或有誤漏者</w:t>
      </w:r>
      <w:r w:rsidRPr="006A1E48">
        <w:rPr>
          <w:rFonts w:ascii="Times New Roman" w:eastAsia="標楷體" w:hAnsi="Times New Roman"/>
          <w:sz w:val="28"/>
          <w:szCs w:val="28"/>
        </w:rPr>
        <w:t>，</w:t>
      </w:r>
      <w:r w:rsidRPr="006A1E48">
        <w:rPr>
          <w:rFonts w:ascii="Times New Roman" w:eastAsia="標楷體" w:hAnsi="Times New Roman" w:hint="eastAsia"/>
          <w:sz w:val="28"/>
          <w:szCs w:val="28"/>
        </w:rPr>
        <w:t>中央主管機關應通知限期補正，屆期未補正或補正不</w:t>
      </w:r>
      <w:r w:rsidR="00441BBD" w:rsidRPr="00441BBD">
        <w:rPr>
          <w:rFonts w:ascii="Times New Roman" w:eastAsia="標楷體" w:hAnsi="Times New Roman" w:hint="eastAsia"/>
          <w:sz w:val="28"/>
          <w:szCs w:val="28"/>
        </w:rPr>
        <w:t>完備</w:t>
      </w:r>
      <w:r w:rsidRPr="006A1E48">
        <w:rPr>
          <w:rFonts w:ascii="Times New Roman" w:eastAsia="標楷體" w:hAnsi="Times New Roman" w:hint="eastAsia"/>
          <w:sz w:val="28"/>
          <w:szCs w:val="28"/>
        </w:rPr>
        <w:t>者，應駁回其申請。</w:t>
      </w:r>
    </w:p>
    <w:p w:rsidR="00EB0ECB" w:rsidRPr="006A1E48" w:rsidRDefault="00EB0ECB" w:rsidP="00EB0ECB">
      <w:pPr>
        <w:adjustRightInd w:val="0"/>
        <w:snapToGrid w:val="0"/>
        <w:spacing w:line="460" w:lineRule="exact"/>
        <w:ind w:left="840" w:rightChars="32" w:right="77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Pr="00EB0ECB">
        <w:rPr>
          <w:rFonts w:ascii="Times New Roman" w:eastAsia="標楷體" w:hAnsi="Times New Roman" w:hint="eastAsia"/>
          <w:sz w:val="28"/>
          <w:szCs w:val="28"/>
        </w:rPr>
        <w:t>經審查申請案文件符合規定者，應於接到通知之翌日起十五日內，繳納審查費或變更審查費。未依規定繳費者，準用前項規定。</w:t>
      </w:r>
    </w:p>
    <w:p w:rsidR="009871F6" w:rsidRPr="006A1E48" w:rsidRDefault="009871F6" w:rsidP="00EF0F6B">
      <w:pPr>
        <w:adjustRightInd w:val="0"/>
        <w:snapToGrid w:val="0"/>
        <w:spacing w:line="460" w:lineRule="exact"/>
        <w:ind w:leftChars="5" w:left="1132" w:rightChars="32" w:right="77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</w:t>
      </w:r>
      <w:r w:rsidRPr="006A1E48">
        <w:rPr>
          <w:rFonts w:ascii="Times New Roman" w:eastAsia="標楷體" w:hAnsi="Times New Roman" w:hint="eastAsia"/>
          <w:sz w:val="28"/>
          <w:szCs w:val="28"/>
        </w:rPr>
        <w:t>十</w:t>
      </w:r>
      <w:r w:rsidR="00402DC6">
        <w:rPr>
          <w:rFonts w:ascii="Times New Roman" w:eastAsia="標楷體" w:hAnsi="Times New Roman" w:hint="eastAsia"/>
          <w:sz w:val="28"/>
          <w:szCs w:val="28"/>
        </w:rPr>
        <w:t>一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/>
          <w:sz w:val="28"/>
          <w:szCs w:val="28"/>
        </w:rPr>
        <w:t>中央主管機關</w:t>
      </w:r>
      <w:r w:rsidRPr="006A1E48">
        <w:rPr>
          <w:rFonts w:ascii="Times New Roman" w:eastAsia="標楷體" w:hAnsi="Times New Roman" w:hint="eastAsia"/>
          <w:sz w:val="28"/>
          <w:szCs w:val="28"/>
        </w:rPr>
        <w:t>受理第四條</w:t>
      </w:r>
      <w:r w:rsidR="0022213B">
        <w:rPr>
          <w:rFonts w:ascii="Times New Roman" w:eastAsia="標楷體" w:hAnsi="Times New Roman" w:hint="eastAsia"/>
          <w:sz w:val="28"/>
          <w:szCs w:val="28"/>
        </w:rPr>
        <w:t>規定</w:t>
      </w:r>
      <w:r w:rsidRPr="006A1E48">
        <w:rPr>
          <w:rFonts w:ascii="Times New Roman" w:eastAsia="標楷體" w:hAnsi="Times New Roman" w:hint="eastAsia"/>
          <w:sz w:val="28"/>
          <w:szCs w:val="28"/>
        </w:rPr>
        <w:t>之申請後，應依本法第十六條第二項規定審查，</w:t>
      </w:r>
      <w:r w:rsidR="004D4FF7">
        <w:rPr>
          <w:rFonts w:ascii="Times New Roman" w:eastAsia="標楷體" w:hAnsi="Times New Roman" w:hint="eastAsia"/>
          <w:sz w:val="28"/>
          <w:szCs w:val="28"/>
        </w:rPr>
        <w:t>並</w:t>
      </w:r>
      <w:r w:rsidRPr="006A1E48">
        <w:rPr>
          <w:rFonts w:ascii="Times New Roman" w:eastAsia="標楷體" w:hAnsi="Times New Roman"/>
          <w:sz w:val="28"/>
          <w:szCs w:val="28"/>
        </w:rPr>
        <w:t>作成下列</w:t>
      </w:r>
      <w:r w:rsidRPr="006A1E48">
        <w:rPr>
          <w:rFonts w:ascii="Times New Roman" w:eastAsia="標楷體" w:hAnsi="Times New Roman" w:hint="eastAsia"/>
          <w:sz w:val="28"/>
          <w:szCs w:val="28"/>
        </w:rPr>
        <w:t>處分</w:t>
      </w:r>
      <w:r w:rsidRPr="006A1E48">
        <w:rPr>
          <w:rFonts w:ascii="Times New Roman" w:eastAsia="標楷體" w:hAnsi="Times New Roman"/>
          <w:sz w:val="28"/>
          <w:szCs w:val="28"/>
        </w:rPr>
        <w:t>：</w:t>
      </w:r>
    </w:p>
    <w:p w:rsidR="002E1DFA" w:rsidRDefault="009871F6" w:rsidP="002973D7">
      <w:pPr>
        <w:pStyle w:val="a9"/>
        <w:numPr>
          <w:ilvl w:val="0"/>
          <w:numId w:val="11"/>
        </w:numPr>
        <w:adjustRightInd w:val="0"/>
        <w:snapToGrid w:val="0"/>
        <w:spacing w:line="460" w:lineRule="exact"/>
        <w:ind w:leftChars="0" w:left="2268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2E1DFA">
        <w:rPr>
          <w:rFonts w:ascii="Times New Roman" w:eastAsia="標楷體" w:hAnsi="Times New Roman"/>
          <w:sz w:val="28"/>
          <w:szCs w:val="28"/>
        </w:rPr>
        <w:t>核准。</w:t>
      </w:r>
    </w:p>
    <w:p w:rsidR="002E1DFA" w:rsidRDefault="009871F6" w:rsidP="002973D7">
      <w:pPr>
        <w:pStyle w:val="a9"/>
        <w:numPr>
          <w:ilvl w:val="0"/>
          <w:numId w:val="11"/>
        </w:numPr>
        <w:adjustRightInd w:val="0"/>
        <w:snapToGrid w:val="0"/>
        <w:spacing w:line="460" w:lineRule="exact"/>
        <w:ind w:leftChars="0" w:left="2268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2E1DFA">
        <w:rPr>
          <w:rFonts w:ascii="Times New Roman" w:eastAsia="標楷體" w:hAnsi="Times New Roman"/>
          <w:sz w:val="28"/>
          <w:szCs w:val="28"/>
        </w:rPr>
        <w:lastRenderedPageBreak/>
        <w:t>附加附款核准。</w:t>
      </w:r>
    </w:p>
    <w:p w:rsidR="009871F6" w:rsidRPr="002E1DFA" w:rsidRDefault="009871F6" w:rsidP="002973D7">
      <w:pPr>
        <w:pStyle w:val="a9"/>
        <w:numPr>
          <w:ilvl w:val="0"/>
          <w:numId w:val="11"/>
        </w:numPr>
        <w:adjustRightInd w:val="0"/>
        <w:snapToGrid w:val="0"/>
        <w:spacing w:line="460" w:lineRule="exact"/>
        <w:ind w:leftChars="0" w:left="2268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2E1DFA">
        <w:rPr>
          <w:rFonts w:ascii="Times New Roman" w:eastAsia="標楷體" w:hAnsi="Times New Roman"/>
          <w:sz w:val="28"/>
          <w:szCs w:val="28"/>
        </w:rPr>
        <w:t>不予核准。</w:t>
      </w:r>
    </w:p>
    <w:p w:rsidR="009871F6" w:rsidRPr="006A1E48" w:rsidRDefault="009871F6" w:rsidP="00EF0F6B">
      <w:pPr>
        <w:adjustRightInd w:val="0"/>
        <w:snapToGrid w:val="0"/>
        <w:spacing w:line="460" w:lineRule="exact"/>
        <w:ind w:leftChars="5" w:left="1132" w:rightChars="32" w:right="77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第十</w:t>
      </w:r>
      <w:r w:rsidR="00402DC6">
        <w:rPr>
          <w:rFonts w:ascii="Times New Roman" w:eastAsia="標楷體" w:hAnsi="Times New Roman" w:hint="eastAsia"/>
          <w:sz w:val="28"/>
          <w:szCs w:val="28"/>
        </w:rPr>
        <w:t>二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/>
          <w:sz w:val="28"/>
          <w:szCs w:val="28"/>
        </w:rPr>
        <w:t>能源使用說明書經審查有下列情形之ㄧ</w:t>
      </w:r>
      <w:r w:rsidRPr="006A1E48">
        <w:rPr>
          <w:rFonts w:ascii="Times New Roman" w:eastAsia="標楷體" w:hAnsi="Times New Roman" w:hint="eastAsia"/>
          <w:sz w:val="28"/>
          <w:szCs w:val="28"/>
        </w:rPr>
        <w:t>者</w:t>
      </w:r>
      <w:r w:rsidRPr="006A1E48">
        <w:rPr>
          <w:rFonts w:ascii="Times New Roman" w:eastAsia="標楷體" w:hAnsi="Times New Roman"/>
          <w:sz w:val="28"/>
          <w:szCs w:val="28"/>
        </w:rPr>
        <w:t>，經中央主管機關</w:t>
      </w:r>
      <w:r w:rsidRPr="006A1E48">
        <w:rPr>
          <w:rFonts w:ascii="Times New Roman" w:eastAsia="標楷體" w:hAnsi="Times New Roman" w:hint="eastAsia"/>
          <w:sz w:val="28"/>
          <w:szCs w:val="28"/>
        </w:rPr>
        <w:t>通知</w:t>
      </w:r>
      <w:r w:rsidRPr="006A1E48">
        <w:rPr>
          <w:rFonts w:ascii="Times New Roman" w:eastAsia="標楷體" w:hAnsi="Times New Roman"/>
          <w:sz w:val="28"/>
          <w:szCs w:val="28"/>
        </w:rPr>
        <w:t>限期補正</w:t>
      </w:r>
      <w:r w:rsidRPr="006A1E48">
        <w:rPr>
          <w:rFonts w:ascii="Times New Roman" w:eastAsia="標楷體" w:hAnsi="Times New Roman" w:hint="eastAsia"/>
          <w:sz w:val="28"/>
          <w:szCs w:val="28"/>
        </w:rPr>
        <w:t>而屆</w:t>
      </w:r>
      <w:r w:rsidRPr="006A1E48">
        <w:rPr>
          <w:rFonts w:ascii="Times New Roman" w:eastAsia="標楷體" w:hAnsi="Times New Roman"/>
          <w:sz w:val="28"/>
          <w:szCs w:val="28"/>
        </w:rPr>
        <w:t>期未補正</w:t>
      </w:r>
      <w:r w:rsidR="004D4FF7">
        <w:rPr>
          <w:rFonts w:ascii="Times New Roman" w:eastAsia="標楷體" w:hAnsi="Times New Roman" w:hint="eastAsia"/>
          <w:sz w:val="28"/>
          <w:szCs w:val="28"/>
        </w:rPr>
        <w:t>或</w:t>
      </w:r>
      <w:r w:rsidR="00441BBD">
        <w:rPr>
          <w:rFonts w:ascii="Times New Roman" w:eastAsia="標楷體" w:hAnsi="Times New Roman" w:hint="eastAsia"/>
          <w:sz w:val="28"/>
          <w:szCs w:val="28"/>
        </w:rPr>
        <w:t>補正不</w:t>
      </w:r>
      <w:r w:rsidR="00441BBD" w:rsidRPr="00441BBD">
        <w:rPr>
          <w:rFonts w:ascii="Times New Roman" w:eastAsia="標楷體" w:hAnsi="Times New Roman" w:hint="eastAsia"/>
          <w:sz w:val="28"/>
          <w:szCs w:val="28"/>
        </w:rPr>
        <w:t>完備</w:t>
      </w:r>
      <w:r w:rsidRPr="006A1E48">
        <w:rPr>
          <w:rFonts w:ascii="Times New Roman" w:eastAsia="標楷體" w:hAnsi="Times New Roman" w:hint="eastAsia"/>
          <w:sz w:val="28"/>
          <w:szCs w:val="28"/>
        </w:rPr>
        <w:t>者</w:t>
      </w:r>
      <w:r w:rsidRPr="006A1E48">
        <w:rPr>
          <w:rFonts w:ascii="Times New Roman" w:eastAsia="標楷體" w:hAnsi="Times New Roman"/>
          <w:sz w:val="28"/>
          <w:szCs w:val="28"/>
        </w:rPr>
        <w:t>，得作成不予核准之</w:t>
      </w:r>
      <w:r w:rsidR="004D4FF7">
        <w:rPr>
          <w:rFonts w:ascii="Times New Roman" w:eastAsia="標楷體" w:hAnsi="Times New Roman" w:hint="eastAsia"/>
          <w:sz w:val="28"/>
          <w:szCs w:val="28"/>
        </w:rPr>
        <w:t>處分</w:t>
      </w:r>
      <w:r w:rsidRPr="006A1E48">
        <w:rPr>
          <w:rFonts w:ascii="Times New Roman" w:eastAsia="標楷體" w:hAnsi="Times New Roman"/>
          <w:sz w:val="28"/>
          <w:szCs w:val="28"/>
        </w:rPr>
        <w:t>：</w:t>
      </w:r>
    </w:p>
    <w:p w:rsidR="002911FA" w:rsidRPr="00904AE6" w:rsidRDefault="009871F6" w:rsidP="002973D7">
      <w:pPr>
        <w:pStyle w:val="a9"/>
        <w:numPr>
          <w:ilvl w:val="0"/>
          <w:numId w:val="12"/>
        </w:numPr>
        <w:adjustRightInd w:val="0"/>
        <w:snapToGrid w:val="0"/>
        <w:spacing w:line="460" w:lineRule="exact"/>
        <w:ind w:leftChars="0" w:left="2268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904AE6">
        <w:rPr>
          <w:rFonts w:ascii="Times New Roman" w:eastAsia="標楷體" w:hAnsi="Times New Roman"/>
          <w:sz w:val="28"/>
          <w:szCs w:val="28"/>
        </w:rPr>
        <w:t>能源使用說明書所記載之使用數量</w:t>
      </w:r>
      <w:r w:rsidRPr="00904AE6">
        <w:rPr>
          <w:rFonts w:ascii="Times New Roman" w:eastAsia="標楷體" w:hAnsi="Times New Roman" w:hint="eastAsia"/>
          <w:sz w:val="28"/>
          <w:szCs w:val="28"/>
        </w:rPr>
        <w:t>、種類、區位</w:t>
      </w:r>
      <w:r w:rsidRPr="00904AE6">
        <w:rPr>
          <w:rFonts w:ascii="Times New Roman" w:eastAsia="標楷體" w:hAnsi="Times New Roman"/>
          <w:sz w:val="28"/>
          <w:szCs w:val="28"/>
        </w:rPr>
        <w:t>，不符第</w:t>
      </w:r>
      <w:r w:rsidRPr="00904AE6">
        <w:rPr>
          <w:rFonts w:ascii="Times New Roman" w:eastAsia="標楷體" w:hAnsi="Times New Roman" w:hint="eastAsia"/>
          <w:sz w:val="28"/>
          <w:szCs w:val="28"/>
        </w:rPr>
        <w:t>五</w:t>
      </w:r>
      <w:r w:rsidRPr="00904AE6">
        <w:rPr>
          <w:rFonts w:ascii="Times New Roman" w:eastAsia="標楷體" w:hAnsi="Times New Roman"/>
          <w:sz w:val="28"/>
          <w:szCs w:val="28"/>
        </w:rPr>
        <w:t>條或第</w:t>
      </w:r>
      <w:r w:rsidRPr="00904AE6">
        <w:rPr>
          <w:rFonts w:ascii="Times New Roman" w:eastAsia="標楷體" w:hAnsi="Times New Roman" w:hint="eastAsia"/>
          <w:sz w:val="28"/>
          <w:szCs w:val="28"/>
        </w:rPr>
        <w:t>八</w:t>
      </w:r>
      <w:r w:rsidRPr="00904AE6">
        <w:rPr>
          <w:rFonts w:ascii="Times New Roman" w:eastAsia="標楷體" w:hAnsi="Times New Roman"/>
          <w:sz w:val="28"/>
          <w:szCs w:val="28"/>
        </w:rPr>
        <w:t>條</w:t>
      </w:r>
      <w:r w:rsidR="0022213B">
        <w:rPr>
          <w:rFonts w:ascii="Times New Roman" w:eastAsia="標楷體" w:hAnsi="Times New Roman" w:hint="eastAsia"/>
          <w:sz w:val="28"/>
          <w:szCs w:val="28"/>
        </w:rPr>
        <w:t>之</w:t>
      </w:r>
      <w:r w:rsidRPr="00904AE6">
        <w:rPr>
          <w:rFonts w:ascii="Times New Roman" w:eastAsia="標楷體" w:hAnsi="Times New Roman"/>
          <w:sz w:val="28"/>
          <w:szCs w:val="28"/>
        </w:rPr>
        <w:t>規定。</w:t>
      </w:r>
    </w:p>
    <w:p w:rsidR="009871F6" w:rsidRPr="006A1E48" w:rsidRDefault="009871F6" w:rsidP="002973D7">
      <w:pPr>
        <w:pStyle w:val="a9"/>
        <w:numPr>
          <w:ilvl w:val="0"/>
          <w:numId w:val="12"/>
        </w:numPr>
        <w:adjustRightInd w:val="0"/>
        <w:snapToGrid w:val="0"/>
        <w:spacing w:line="460" w:lineRule="exact"/>
        <w:ind w:leftChars="0" w:left="2268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能源使用說明書所記載之效率，不符第</w:t>
      </w:r>
      <w:r w:rsidRPr="006A1E48">
        <w:rPr>
          <w:rFonts w:ascii="Times New Roman" w:eastAsia="標楷體" w:hAnsi="Times New Roman" w:hint="eastAsia"/>
          <w:sz w:val="28"/>
          <w:szCs w:val="28"/>
        </w:rPr>
        <w:t>七</w:t>
      </w:r>
      <w:r w:rsidRPr="006A1E48">
        <w:rPr>
          <w:rFonts w:ascii="Times New Roman" w:eastAsia="標楷體" w:hAnsi="Times New Roman"/>
          <w:sz w:val="28"/>
          <w:szCs w:val="28"/>
        </w:rPr>
        <w:t>條或第</w:t>
      </w:r>
      <w:r w:rsidRPr="006A1E48">
        <w:rPr>
          <w:rFonts w:ascii="Times New Roman" w:eastAsia="標楷體" w:hAnsi="Times New Roman" w:hint="eastAsia"/>
          <w:sz w:val="28"/>
          <w:szCs w:val="28"/>
        </w:rPr>
        <w:t>九</w:t>
      </w:r>
      <w:r w:rsidRPr="006A1E48">
        <w:rPr>
          <w:rFonts w:ascii="Times New Roman" w:eastAsia="標楷體" w:hAnsi="Times New Roman"/>
          <w:sz w:val="28"/>
          <w:szCs w:val="28"/>
        </w:rPr>
        <w:t>條</w:t>
      </w:r>
      <w:r w:rsidR="0022213B">
        <w:rPr>
          <w:rFonts w:ascii="Times New Roman" w:eastAsia="標楷體" w:hAnsi="Times New Roman" w:hint="eastAsia"/>
          <w:sz w:val="28"/>
          <w:szCs w:val="28"/>
        </w:rPr>
        <w:t>之</w:t>
      </w:r>
      <w:r w:rsidRPr="006A1E48">
        <w:rPr>
          <w:rFonts w:ascii="Times New Roman" w:eastAsia="標楷體" w:hAnsi="Times New Roman"/>
          <w:sz w:val="28"/>
          <w:szCs w:val="28"/>
        </w:rPr>
        <w:t>規定。</w:t>
      </w:r>
    </w:p>
    <w:p w:rsidR="009871F6" w:rsidRPr="006A1E48" w:rsidRDefault="009871F6" w:rsidP="00EF0F6B">
      <w:pPr>
        <w:adjustRightInd w:val="0"/>
        <w:snapToGrid w:val="0"/>
        <w:spacing w:line="460" w:lineRule="exact"/>
        <w:ind w:leftChars="5" w:left="1132" w:rightChars="32" w:right="77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第十</w:t>
      </w:r>
      <w:r w:rsidR="00402DC6">
        <w:rPr>
          <w:rFonts w:ascii="Times New Roman" w:eastAsia="標楷體" w:hAnsi="Times New Roman" w:hint="eastAsia"/>
          <w:sz w:val="28"/>
          <w:szCs w:val="28"/>
        </w:rPr>
        <w:t>三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能源使用說明書經核准後，所載</w:t>
      </w:r>
      <w:r w:rsidR="004D4FF7">
        <w:rPr>
          <w:rFonts w:ascii="Times New Roman" w:eastAsia="標楷體" w:hAnsi="Times New Roman" w:hint="eastAsia"/>
          <w:sz w:val="28"/>
          <w:szCs w:val="28"/>
        </w:rPr>
        <w:t>規劃</w:t>
      </w:r>
      <w:r w:rsidRPr="006A1E48">
        <w:rPr>
          <w:rFonts w:ascii="Times New Roman" w:eastAsia="標楷體" w:hAnsi="Times New Roman"/>
          <w:sz w:val="28"/>
          <w:szCs w:val="28"/>
        </w:rPr>
        <w:t>商轉年</w:t>
      </w:r>
      <w:r w:rsidR="00441BBD">
        <w:rPr>
          <w:rFonts w:ascii="Times New Roman" w:eastAsia="標楷體" w:hAnsi="Times New Roman" w:hint="eastAsia"/>
          <w:sz w:val="28"/>
          <w:szCs w:val="28"/>
        </w:rPr>
        <w:t>屆</w:t>
      </w:r>
      <w:r w:rsidR="00441BBD" w:rsidRPr="00441BBD">
        <w:rPr>
          <w:rFonts w:ascii="Times New Roman" w:eastAsia="標楷體" w:hAnsi="Times New Roman" w:hint="eastAsia"/>
          <w:sz w:val="28"/>
          <w:szCs w:val="28"/>
        </w:rPr>
        <w:t>至</w:t>
      </w:r>
      <w:r w:rsidRPr="006A1E48">
        <w:rPr>
          <w:rFonts w:ascii="Times New Roman" w:eastAsia="標楷體" w:hAnsi="Times New Roman" w:hint="eastAsia"/>
          <w:sz w:val="28"/>
          <w:szCs w:val="28"/>
        </w:rPr>
        <w:t>，且有</w:t>
      </w:r>
      <w:r w:rsidRPr="006A1E48">
        <w:rPr>
          <w:rFonts w:ascii="Times New Roman" w:eastAsia="標楷體" w:hAnsi="Times New Roman"/>
          <w:sz w:val="28"/>
          <w:szCs w:val="28"/>
        </w:rPr>
        <w:t>下列</w:t>
      </w:r>
      <w:r w:rsidRPr="006A1E48">
        <w:rPr>
          <w:rFonts w:ascii="Times New Roman" w:eastAsia="標楷體" w:hAnsi="Times New Roman" w:hint="eastAsia"/>
          <w:sz w:val="28"/>
          <w:szCs w:val="28"/>
        </w:rPr>
        <w:t>情形</w:t>
      </w:r>
      <w:r w:rsidRPr="006A1E48">
        <w:rPr>
          <w:rFonts w:ascii="Times New Roman" w:eastAsia="標楷體" w:hAnsi="Times New Roman"/>
          <w:sz w:val="28"/>
          <w:szCs w:val="28"/>
        </w:rPr>
        <w:t>之一</w:t>
      </w:r>
      <w:r w:rsidRPr="006A1E48">
        <w:rPr>
          <w:rFonts w:ascii="Times New Roman" w:eastAsia="標楷體" w:hAnsi="Times New Roman" w:hint="eastAsia"/>
          <w:sz w:val="28"/>
          <w:szCs w:val="28"/>
        </w:rPr>
        <w:t>者</w:t>
      </w:r>
      <w:r w:rsidRPr="006A1E48">
        <w:rPr>
          <w:rFonts w:ascii="Times New Roman" w:eastAsia="標楷體" w:hAnsi="Times New Roman"/>
          <w:sz w:val="28"/>
          <w:szCs w:val="28"/>
        </w:rPr>
        <w:t>，中央主管機關</w:t>
      </w:r>
      <w:r w:rsidRPr="006A1E48">
        <w:rPr>
          <w:rFonts w:ascii="Times New Roman" w:eastAsia="標楷體" w:hAnsi="Times New Roman" w:hint="eastAsia"/>
          <w:sz w:val="28"/>
          <w:szCs w:val="28"/>
        </w:rPr>
        <w:t>應廢止其核准</w:t>
      </w:r>
      <w:r w:rsidRPr="006A1E48">
        <w:rPr>
          <w:rFonts w:ascii="Times New Roman" w:eastAsia="標楷體" w:hAnsi="Times New Roman"/>
          <w:sz w:val="28"/>
          <w:szCs w:val="28"/>
        </w:rPr>
        <w:t>：</w:t>
      </w:r>
    </w:p>
    <w:p w:rsidR="00AF1842" w:rsidRPr="00AE028D" w:rsidRDefault="009871F6" w:rsidP="002973D7">
      <w:pPr>
        <w:pStyle w:val="a9"/>
        <w:numPr>
          <w:ilvl w:val="0"/>
          <w:numId w:val="13"/>
        </w:numPr>
        <w:adjustRightInd w:val="0"/>
        <w:snapToGrid w:val="0"/>
        <w:spacing w:line="460" w:lineRule="exact"/>
        <w:ind w:leftChars="0" w:left="2268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AE028D">
        <w:rPr>
          <w:rFonts w:ascii="Times New Roman" w:eastAsia="標楷體" w:hAnsi="Times New Roman"/>
          <w:sz w:val="28"/>
          <w:szCs w:val="28"/>
        </w:rPr>
        <w:t>電力類</w:t>
      </w:r>
      <w:r w:rsidRPr="00AE028D">
        <w:rPr>
          <w:rFonts w:ascii="Times New Roman" w:eastAsia="標楷體" w:hAnsi="Times New Roman" w:hint="eastAsia"/>
          <w:sz w:val="28"/>
          <w:szCs w:val="28"/>
        </w:rPr>
        <w:t>：</w:t>
      </w:r>
    </w:p>
    <w:p w:rsidR="003E6A0D" w:rsidRDefault="009871F6" w:rsidP="003E6A0D">
      <w:pPr>
        <w:adjustRightInd w:val="0"/>
        <w:snapToGrid w:val="0"/>
        <w:spacing w:line="460" w:lineRule="exact"/>
        <w:ind w:leftChars="827" w:left="2833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9F2E84">
        <w:rPr>
          <w:rFonts w:ascii="Times New Roman" w:eastAsia="標楷體" w:hAnsi="Times New Roman" w:hint="eastAsia"/>
          <w:sz w:val="28"/>
          <w:szCs w:val="28"/>
        </w:rPr>
        <w:t>（一）未依電業相關法規取得電業籌備創設</w:t>
      </w:r>
      <w:r w:rsidR="0022213B" w:rsidRPr="009F2E84">
        <w:rPr>
          <w:rFonts w:ascii="Times New Roman" w:eastAsia="標楷體" w:hAnsi="Times New Roman" w:hint="eastAsia"/>
          <w:sz w:val="28"/>
          <w:szCs w:val="28"/>
        </w:rPr>
        <w:t>登記</w:t>
      </w:r>
      <w:r w:rsidRPr="009F2E84">
        <w:rPr>
          <w:rFonts w:ascii="Times New Roman" w:eastAsia="標楷體" w:hAnsi="Times New Roman" w:hint="eastAsia"/>
          <w:sz w:val="28"/>
          <w:szCs w:val="28"/>
        </w:rPr>
        <w:t>備案。</w:t>
      </w:r>
    </w:p>
    <w:p w:rsidR="003E6A0D" w:rsidRDefault="009871F6" w:rsidP="003E6A0D">
      <w:pPr>
        <w:adjustRightInd w:val="0"/>
        <w:snapToGrid w:val="0"/>
        <w:spacing w:line="460" w:lineRule="exact"/>
        <w:ind w:leftChars="827" w:left="2833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（二）電業</w:t>
      </w:r>
      <w:r w:rsidRPr="006A1E48">
        <w:rPr>
          <w:rFonts w:ascii="Times New Roman" w:eastAsia="標楷體" w:hAnsi="Times New Roman"/>
          <w:sz w:val="28"/>
          <w:szCs w:val="28"/>
        </w:rPr>
        <w:t>籌備創設</w:t>
      </w:r>
      <w:r w:rsidR="00AF1842">
        <w:rPr>
          <w:rFonts w:ascii="Times New Roman" w:eastAsia="標楷體" w:hAnsi="Times New Roman" w:hint="eastAsia"/>
          <w:sz w:val="28"/>
          <w:szCs w:val="28"/>
        </w:rPr>
        <w:t>登記</w:t>
      </w:r>
      <w:r w:rsidRPr="006A1E48">
        <w:rPr>
          <w:rFonts w:ascii="Times New Roman" w:eastAsia="標楷體" w:hAnsi="Times New Roman"/>
          <w:sz w:val="28"/>
          <w:szCs w:val="28"/>
        </w:rPr>
        <w:t>備案</w:t>
      </w:r>
      <w:r w:rsidRPr="006A1E48">
        <w:rPr>
          <w:rFonts w:ascii="Times New Roman" w:eastAsia="標楷體" w:hAnsi="Times New Roman" w:hint="eastAsia"/>
          <w:sz w:val="28"/>
          <w:szCs w:val="28"/>
        </w:rPr>
        <w:t>經撤銷、廢止或其他情形失其效力</w:t>
      </w:r>
      <w:r w:rsidRPr="006A1E48">
        <w:rPr>
          <w:rFonts w:ascii="Times New Roman" w:eastAsia="標楷體" w:hAnsi="Times New Roman"/>
          <w:sz w:val="28"/>
          <w:szCs w:val="28"/>
        </w:rPr>
        <w:t>。</w:t>
      </w:r>
    </w:p>
    <w:p w:rsidR="009871F6" w:rsidRPr="006A1E48" w:rsidRDefault="009871F6" w:rsidP="003E6A0D">
      <w:pPr>
        <w:adjustRightInd w:val="0"/>
        <w:snapToGrid w:val="0"/>
        <w:spacing w:line="460" w:lineRule="exact"/>
        <w:ind w:leftChars="827" w:left="2833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（三）電業工作許可證經撤銷、廢止或其他情形失其效力</w:t>
      </w:r>
      <w:r w:rsidRPr="006A1E48">
        <w:rPr>
          <w:rFonts w:ascii="Times New Roman" w:eastAsia="標楷體" w:hAnsi="Times New Roman"/>
          <w:sz w:val="28"/>
          <w:szCs w:val="28"/>
        </w:rPr>
        <w:t>。</w:t>
      </w:r>
    </w:p>
    <w:p w:rsidR="009871F6" w:rsidRPr="006A1E48" w:rsidRDefault="009871F6" w:rsidP="002973D7">
      <w:pPr>
        <w:pStyle w:val="a9"/>
        <w:numPr>
          <w:ilvl w:val="0"/>
          <w:numId w:val="13"/>
        </w:numPr>
        <w:adjustRightInd w:val="0"/>
        <w:snapToGrid w:val="0"/>
        <w:spacing w:line="460" w:lineRule="exact"/>
        <w:ind w:leftChars="0" w:left="2268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汽電共生類</w:t>
      </w:r>
      <w:r w:rsidRPr="006A1E48">
        <w:rPr>
          <w:rFonts w:ascii="Times New Roman" w:eastAsia="標楷體" w:hAnsi="Times New Roman" w:hint="eastAsia"/>
          <w:sz w:val="28"/>
          <w:szCs w:val="28"/>
        </w:rPr>
        <w:t>：</w:t>
      </w:r>
    </w:p>
    <w:p w:rsidR="003E6A0D" w:rsidRDefault="009871F6" w:rsidP="003E6A0D">
      <w:pPr>
        <w:adjustRightInd w:val="0"/>
        <w:snapToGrid w:val="0"/>
        <w:spacing w:line="460" w:lineRule="exact"/>
        <w:ind w:leftChars="828" w:left="2835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（一）</w:t>
      </w:r>
      <w:r w:rsidRPr="006A1E48">
        <w:rPr>
          <w:rFonts w:ascii="Times New Roman" w:eastAsia="標楷體" w:hAnsi="Times New Roman"/>
          <w:sz w:val="28"/>
          <w:szCs w:val="28"/>
        </w:rPr>
        <w:t>未</w:t>
      </w:r>
      <w:r w:rsidRPr="006A1E48">
        <w:rPr>
          <w:rFonts w:ascii="Times New Roman" w:eastAsia="標楷體" w:hAnsi="Times New Roman" w:hint="eastAsia"/>
          <w:sz w:val="28"/>
          <w:szCs w:val="28"/>
        </w:rPr>
        <w:t>依電業相關法規</w:t>
      </w:r>
      <w:r w:rsidRPr="006A1E48">
        <w:rPr>
          <w:rFonts w:ascii="Times New Roman" w:eastAsia="標楷體" w:hAnsi="Times New Roman"/>
          <w:sz w:val="28"/>
          <w:szCs w:val="28"/>
        </w:rPr>
        <w:t>取得</w:t>
      </w:r>
      <w:r w:rsidRPr="006A1E48">
        <w:rPr>
          <w:rFonts w:ascii="Times New Roman" w:eastAsia="標楷體" w:hAnsi="Times New Roman" w:hint="eastAsia"/>
          <w:sz w:val="28"/>
          <w:szCs w:val="28"/>
        </w:rPr>
        <w:t>自用發電設備</w:t>
      </w:r>
      <w:r w:rsidRPr="006A1E48">
        <w:rPr>
          <w:rFonts w:ascii="Times New Roman" w:eastAsia="標楷體" w:hAnsi="Times New Roman"/>
          <w:sz w:val="28"/>
          <w:szCs w:val="28"/>
        </w:rPr>
        <w:t>工作許可證</w:t>
      </w:r>
      <w:r w:rsidRPr="006A1E48">
        <w:rPr>
          <w:rFonts w:ascii="Times New Roman" w:eastAsia="標楷體" w:hAnsi="Times New Roman" w:hint="eastAsia"/>
          <w:sz w:val="28"/>
          <w:szCs w:val="28"/>
        </w:rPr>
        <w:t>。</w:t>
      </w:r>
    </w:p>
    <w:p w:rsidR="009871F6" w:rsidRPr="006A1E48" w:rsidRDefault="009871F6" w:rsidP="003E6A0D">
      <w:pPr>
        <w:adjustRightInd w:val="0"/>
        <w:snapToGrid w:val="0"/>
        <w:spacing w:line="460" w:lineRule="exact"/>
        <w:ind w:leftChars="828" w:left="2835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（二）自用發電設備</w:t>
      </w:r>
      <w:r w:rsidRPr="006A1E48">
        <w:rPr>
          <w:rFonts w:ascii="Times New Roman" w:eastAsia="標楷體" w:hAnsi="Times New Roman"/>
          <w:sz w:val="28"/>
          <w:szCs w:val="28"/>
        </w:rPr>
        <w:t>工作許可證</w:t>
      </w:r>
      <w:r w:rsidRPr="006A1E48">
        <w:rPr>
          <w:rFonts w:ascii="Times New Roman" w:eastAsia="標楷體" w:hAnsi="Times New Roman" w:hint="eastAsia"/>
          <w:sz w:val="28"/>
          <w:szCs w:val="28"/>
        </w:rPr>
        <w:t>經撤銷、廢止或其他情形失其效力</w:t>
      </w:r>
      <w:r w:rsidRPr="006A1E48">
        <w:rPr>
          <w:rFonts w:ascii="Times New Roman" w:eastAsia="標楷體" w:hAnsi="Times New Roman"/>
          <w:sz w:val="28"/>
          <w:szCs w:val="28"/>
        </w:rPr>
        <w:t>。</w:t>
      </w:r>
    </w:p>
    <w:p w:rsidR="009871F6" w:rsidRPr="006A1E48" w:rsidRDefault="009871F6" w:rsidP="002973D7">
      <w:pPr>
        <w:pStyle w:val="a9"/>
        <w:numPr>
          <w:ilvl w:val="0"/>
          <w:numId w:val="13"/>
        </w:numPr>
        <w:adjustRightInd w:val="0"/>
        <w:snapToGrid w:val="0"/>
        <w:spacing w:line="460" w:lineRule="exact"/>
        <w:ind w:leftChars="0" w:left="2268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石油煉製類</w:t>
      </w:r>
      <w:r w:rsidRPr="006A1E48">
        <w:rPr>
          <w:rFonts w:ascii="Times New Roman" w:eastAsia="標楷體" w:hAnsi="Times New Roman" w:hint="eastAsia"/>
          <w:sz w:val="28"/>
          <w:szCs w:val="28"/>
        </w:rPr>
        <w:t>：</w:t>
      </w:r>
    </w:p>
    <w:p w:rsidR="003E6A0D" w:rsidRDefault="009871F6" w:rsidP="003E6A0D">
      <w:pPr>
        <w:adjustRightInd w:val="0"/>
        <w:snapToGrid w:val="0"/>
        <w:spacing w:line="460" w:lineRule="exact"/>
        <w:ind w:leftChars="828" w:left="2835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（一）能源使用說明書</w:t>
      </w:r>
      <w:r w:rsidRPr="006A1E48">
        <w:rPr>
          <w:rFonts w:ascii="Times New Roman" w:eastAsia="標楷體" w:hAnsi="Times New Roman"/>
          <w:sz w:val="28"/>
          <w:szCs w:val="28"/>
        </w:rPr>
        <w:t>檢具之電業用電計畫書同意核供函失其效力</w:t>
      </w:r>
      <w:r w:rsidRPr="006A1E48">
        <w:rPr>
          <w:rFonts w:ascii="Times New Roman" w:eastAsia="標楷體" w:hAnsi="Times New Roman" w:hint="eastAsia"/>
          <w:sz w:val="28"/>
          <w:szCs w:val="28"/>
        </w:rPr>
        <w:t>。</w:t>
      </w:r>
    </w:p>
    <w:p w:rsidR="003E6A0D" w:rsidRDefault="009871F6" w:rsidP="003E6A0D">
      <w:pPr>
        <w:adjustRightInd w:val="0"/>
        <w:snapToGrid w:val="0"/>
        <w:spacing w:line="460" w:lineRule="exact"/>
        <w:ind w:leftChars="828" w:left="2835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（二）</w:t>
      </w:r>
      <w:r w:rsidRPr="006A1E48">
        <w:rPr>
          <w:rFonts w:ascii="Times New Roman" w:eastAsia="標楷體" w:hAnsi="Times New Roman"/>
          <w:sz w:val="28"/>
          <w:szCs w:val="28"/>
        </w:rPr>
        <w:t>未</w:t>
      </w:r>
      <w:r w:rsidRPr="006A1E48">
        <w:rPr>
          <w:rFonts w:ascii="Times New Roman" w:eastAsia="標楷體" w:hAnsi="Times New Roman" w:hint="eastAsia"/>
          <w:sz w:val="28"/>
          <w:szCs w:val="28"/>
        </w:rPr>
        <w:t>依石油管理法</w:t>
      </w:r>
      <w:r w:rsidRPr="006A1E48">
        <w:rPr>
          <w:rFonts w:ascii="Times New Roman" w:eastAsia="標楷體" w:hAnsi="Times New Roman"/>
          <w:sz w:val="28"/>
          <w:szCs w:val="28"/>
        </w:rPr>
        <w:t>取得</w:t>
      </w:r>
      <w:r w:rsidRPr="006A1E48">
        <w:rPr>
          <w:rFonts w:ascii="Times New Roman" w:eastAsia="標楷體" w:hAnsi="Times New Roman" w:hint="eastAsia"/>
          <w:sz w:val="28"/>
          <w:szCs w:val="28"/>
        </w:rPr>
        <w:t>石油煉製業</w:t>
      </w:r>
      <w:r w:rsidRPr="006A1E48">
        <w:rPr>
          <w:rFonts w:ascii="Times New Roman" w:eastAsia="標楷體" w:hAnsi="Times New Roman"/>
          <w:sz w:val="28"/>
          <w:szCs w:val="28"/>
        </w:rPr>
        <w:t>設立許可</w:t>
      </w:r>
      <w:r w:rsidRPr="006A1E48">
        <w:rPr>
          <w:rFonts w:ascii="Times New Roman" w:eastAsia="標楷體" w:hAnsi="Times New Roman" w:hint="eastAsia"/>
          <w:sz w:val="28"/>
          <w:szCs w:val="28"/>
        </w:rPr>
        <w:t>。</w:t>
      </w:r>
    </w:p>
    <w:p w:rsidR="009871F6" w:rsidRPr="006A1E48" w:rsidRDefault="009871F6" w:rsidP="003E6A0D">
      <w:pPr>
        <w:adjustRightInd w:val="0"/>
        <w:snapToGrid w:val="0"/>
        <w:spacing w:line="460" w:lineRule="exact"/>
        <w:ind w:leftChars="828" w:left="2835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（三）石油煉製業</w:t>
      </w:r>
      <w:r w:rsidRPr="006A1E48">
        <w:rPr>
          <w:rFonts w:ascii="Times New Roman" w:eastAsia="標楷體" w:hAnsi="Times New Roman"/>
          <w:sz w:val="28"/>
          <w:szCs w:val="28"/>
        </w:rPr>
        <w:t>設立許可</w:t>
      </w:r>
      <w:r w:rsidRPr="006A1E48">
        <w:rPr>
          <w:rFonts w:ascii="Times New Roman" w:eastAsia="標楷體" w:hAnsi="Times New Roman" w:hint="eastAsia"/>
          <w:sz w:val="28"/>
          <w:szCs w:val="28"/>
        </w:rPr>
        <w:t>經撤銷、廢止或其他情形失其效力</w:t>
      </w:r>
      <w:r w:rsidRPr="006A1E48">
        <w:rPr>
          <w:rFonts w:ascii="Times New Roman" w:eastAsia="標楷體" w:hAnsi="Times New Roman"/>
          <w:sz w:val="28"/>
          <w:szCs w:val="28"/>
        </w:rPr>
        <w:t>。</w:t>
      </w:r>
    </w:p>
    <w:p w:rsidR="009871F6" w:rsidRPr="006A1E48" w:rsidRDefault="009871F6" w:rsidP="002973D7">
      <w:pPr>
        <w:pStyle w:val="a9"/>
        <w:numPr>
          <w:ilvl w:val="0"/>
          <w:numId w:val="13"/>
        </w:numPr>
        <w:adjustRightInd w:val="0"/>
        <w:snapToGrid w:val="0"/>
        <w:spacing w:line="460" w:lineRule="exact"/>
        <w:ind w:leftChars="0" w:left="2268" w:rightChars="32" w:right="77" w:hanging="567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能源使用類</w:t>
      </w:r>
      <w:r w:rsidRPr="006A1E48">
        <w:rPr>
          <w:rFonts w:ascii="Times New Roman" w:eastAsia="標楷體" w:hAnsi="Times New Roman" w:hint="eastAsia"/>
          <w:sz w:val="28"/>
          <w:szCs w:val="28"/>
        </w:rPr>
        <w:t>：</w:t>
      </w:r>
    </w:p>
    <w:p w:rsidR="001379BA" w:rsidRDefault="009871F6" w:rsidP="001379BA">
      <w:pPr>
        <w:adjustRightInd w:val="0"/>
        <w:snapToGrid w:val="0"/>
        <w:spacing w:line="460" w:lineRule="exact"/>
        <w:ind w:leftChars="828" w:left="2835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lastRenderedPageBreak/>
        <w:t>（一）能源使用說明書所</w:t>
      </w:r>
      <w:r w:rsidRPr="006A1E48">
        <w:rPr>
          <w:rFonts w:ascii="Times New Roman" w:eastAsia="標楷體" w:hAnsi="Times New Roman"/>
          <w:sz w:val="28"/>
          <w:szCs w:val="28"/>
        </w:rPr>
        <w:t>檢具之電業用電計畫書同意核供函失其效力。</w:t>
      </w:r>
    </w:p>
    <w:p w:rsidR="001379BA" w:rsidRDefault="009871F6" w:rsidP="001379BA">
      <w:pPr>
        <w:adjustRightInd w:val="0"/>
        <w:snapToGrid w:val="0"/>
        <w:spacing w:line="460" w:lineRule="exact"/>
        <w:ind w:leftChars="828" w:left="2835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（二）未依該行業相關管理法規規定取得許可或核准。</w:t>
      </w:r>
    </w:p>
    <w:p w:rsidR="009871F6" w:rsidRPr="006A1E48" w:rsidRDefault="005B7D0F" w:rsidP="001379BA">
      <w:pPr>
        <w:adjustRightInd w:val="0"/>
        <w:snapToGrid w:val="0"/>
        <w:spacing w:line="460" w:lineRule="exact"/>
        <w:ind w:leftChars="828" w:left="2835" w:rightChars="32" w:right="77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（三）</w:t>
      </w:r>
      <w:r w:rsidR="009871F6" w:rsidRPr="006A1E48">
        <w:rPr>
          <w:rFonts w:ascii="Times New Roman" w:eastAsia="標楷體" w:hAnsi="Times New Roman" w:hint="eastAsia"/>
          <w:sz w:val="28"/>
          <w:szCs w:val="28"/>
        </w:rPr>
        <w:t>前目許可或核准經撤銷、廢止或其他情形失其效力</w:t>
      </w:r>
      <w:r w:rsidR="009871F6" w:rsidRPr="006A1E48">
        <w:rPr>
          <w:rFonts w:ascii="Times New Roman" w:eastAsia="標楷體" w:hAnsi="Times New Roman"/>
          <w:sz w:val="28"/>
          <w:szCs w:val="28"/>
        </w:rPr>
        <w:t>。</w:t>
      </w:r>
    </w:p>
    <w:p w:rsidR="00276025" w:rsidRPr="006A1E48" w:rsidRDefault="009871F6" w:rsidP="00EF0F6B">
      <w:pPr>
        <w:adjustRightInd w:val="0"/>
        <w:snapToGrid w:val="0"/>
        <w:spacing w:line="460" w:lineRule="exact"/>
        <w:ind w:leftChars="5" w:left="1132" w:rightChars="32" w:right="77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sz w:val="28"/>
          <w:szCs w:val="28"/>
        </w:rPr>
        <w:t>第十</w:t>
      </w:r>
      <w:r w:rsidR="00402DC6">
        <w:rPr>
          <w:rFonts w:ascii="Times New Roman" w:eastAsia="標楷體" w:hAnsi="Times New Roman" w:hint="eastAsia"/>
          <w:sz w:val="28"/>
          <w:szCs w:val="28"/>
        </w:rPr>
        <w:t>四</w:t>
      </w:r>
      <w:r w:rsidRPr="006A1E48">
        <w:rPr>
          <w:rFonts w:ascii="Times New Roman" w:eastAsia="標楷體" w:hAnsi="Times New Roman"/>
          <w:sz w:val="28"/>
          <w:szCs w:val="28"/>
        </w:rPr>
        <w:t xml:space="preserve">條　</w:t>
      </w:r>
      <w:r w:rsidR="00B961A3" w:rsidRPr="006A1E48">
        <w:rPr>
          <w:rFonts w:ascii="Times New Roman" w:eastAsia="標楷體" w:hAnsi="Times New Roman"/>
          <w:sz w:val="28"/>
          <w:szCs w:val="28"/>
        </w:rPr>
        <w:t xml:space="preserve">　</w:t>
      </w:r>
      <w:r w:rsidRPr="006A1E48">
        <w:rPr>
          <w:rFonts w:ascii="Times New Roman" w:eastAsia="標楷體" w:hAnsi="Times New Roman"/>
          <w:sz w:val="28"/>
          <w:szCs w:val="28"/>
        </w:rPr>
        <w:t>本準則</w:t>
      </w:r>
      <w:r w:rsidRPr="006A1E48">
        <w:rPr>
          <w:rFonts w:ascii="Times New Roman" w:eastAsia="標楷體" w:hAnsi="Times New Roman" w:hint="eastAsia"/>
          <w:sz w:val="28"/>
          <w:szCs w:val="28"/>
        </w:rPr>
        <w:t>自發布日施行。但</w:t>
      </w:r>
      <w:r w:rsidR="00402DC6">
        <w:rPr>
          <w:rFonts w:ascii="Times New Roman" w:eastAsia="標楷體" w:hAnsi="Times New Roman" w:hint="eastAsia"/>
          <w:sz w:val="28"/>
          <w:szCs w:val="28"/>
        </w:rPr>
        <w:t>第四條第二項</w:t>
      </w:r>
      <w:r w:rsidR="00402DC6" w:rsidRPr="006A1E48">
        <w:rPr>
          <w:rFonts w:ascii="Times New Roman" w:eastAsia="標楷體" w:hAnsi="Times New Roman" w:hint="eastAsia"/>
          <w:sz w:val="28"/>
          <w:szCs w:val="28"/>
        </w:rPr>
        <w:t>第一款至第三款、</w:t>
      </w:r>
      <w:r w:rsidRPr="006A1E48">
        <w:rPr>
          <w:rFonts w:ascii="Times New Roman" w:eastAsia="標楷體" w:hAnsi="Times New Roman" w:hint="eastAsia"/>
          <w:sz w:val="28"/>
          <w:szCs w:val="28"/>
        </w:rPr>
        <w:t>第五條、第六條、第八條、第十</w:t>
      </w:r>
      <w:r w:rsidR="00402DC6">
        <w:rPr>
          <w:rFonts w:ascii="Times New Roman" w:eastAsia="標楷體" w:hAnsi="Times New Roman" w:hint="eastAsia"/>
          <w:sz w:val="28"/>
          <w:szCs w:val="28"/>
        </w:rPr>
        <w:t>二</w:t>
      </w:r>
      <w:r w:rsidRPr="006A1E48">
        <w:rPr>
          <w:rFonts w:ascii="Times New Roman" w:eastAsia="標楷體" w:hAnsi="Times New Roman" w:hint="eastAsia"/>
          <w:sz w:val="28"/>
          <w:szCs w:val="28"/>
        </w:rPr>
        <w:t>條第一款、第十</w:t>
      </w:r>
      <w:r w:rsidR="00402DC6">
        <w:rPr>
          <w:rFonts w:ascii="Times New Roman" w:eastAsia="標楷體" w:hAnsi="Times New Roman" w:hint="eastAsia"/>
          <w:sz w:val="28"/>
          <w:szCs w:val="28"/>
        </w:rPr>
        <w:t>三</w:t>
      </w:r>
      <w:r w:rsidRPr="006A1E48">
        <w:rPr>
          <w:rFonts w:ascii="Times New Roman" w:eastAsia="標楷體" w:hAnsi="Times New Roman" w:hint="eastAsia"/>
          <w:sz w:val="28"/>
          <w:szCs w:val="28"/>
        </w:rPr>
        <w:t>條第三款第</w:t>
      </w:r>
      <w:r w:rsidRPr="006A1E48">
        <w:rPr>
          <w:rFonts w:ascii="Times New Roman" w:eastAsia="標楷體" w:hAnsi="Times New Roman"/>
          <w:sz w:val="28"/>
          <w:szCs w:val="28"/>
        </w:rPr>
        <w:t>一</w:t>
      </w:r>
      <w:r w:rsidRPr="006A1E48">
        <w:rPr>
          <w:rFonts w:ascii="Times New Roman" w:eastAsia="標楷體" w:hAnsi="Times New Roman" w:hint="eastAsia"/>
          <w:sz w:val="28"/>
          <w:szCs w:val="28"/>
        </w:rPr>
        <w:t>目及同條第四款第一目之施行日期，由中央主管機關另定之</w:t>
      </w:r>
      <w:r w:rsidRPr="006A1E48">
        <w:rPr>
          <w:rFonts w:ascii="Times New Roman" w:eastAsia="標楷體" w:hAnsi="Times New Roman"/>
          <w:sz w:val="28"/>
          <w:szCs w:val="28"/>
        </w:rPr>
        <w:t>。</w:t>
      </w:r>
      <w:r w:rsidR="00276025" w:rsidRPr="006A1E48">
        <w:rPr>
          <w:rFonts w:ascii="Times New Roman" w:eastAsia="標楷體" w:hAnsi="Times New Roman"/>
          <w:sz w:val="28"/>
          <w:szCs w:val="28"/>
        </w:rPr>
        <w:br w:type="page"/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ind w:left="1259" w:hangingChars="393" w:hanging="1259"/>
        <w:rPr>
          <w:rFonts w:ascii="Times New Roman" w:eastAsia="標楷體" w:hAnsi="Times New Roman"/>
          <w:b/>
          <w:kern w:val="0"/>
          <w:sz w:val="32"/>
          <w:szCs w:val="36"/>
          <w:highlight w:val="yellow"/>
        </w:rPr>
      </w:pPr>
      <w:r w:rsidRPr="006A1E48">
        <w:rPr>
          <w:rFonts w:ascii="Times New Roman" w:eastAsia="標楷體" w:hAnsi="標楷體"/>
          <w:b/>
          <w:kern w:val="0"/>
          <w:sz w:val="32"/>
          <w:szCs w:val="36"/>
        </w:rPr>
        <w:lastRenderedPageBreak/>
        <w:t>附表</w:t>
      </w:r>
      <w:r w:rsidRPr="006A1E48">
        <w:rPr>
          <w:rFonts w:ascii="Times New Roman" w:eastAsia="標楷體" w:hAnsi="標楷體" w:hint="eastAsia"/>
          <w:b/>
          <w:kern w:val="0"/>
          <w:sz w:val="32"/>
          <w:szCs w:val="36"/>
        </w:rPr>
        <w:t>一</w:t>
      </w:r>
      <w:r w:rsidRPr="006A1E48">
        <w:rPr>
          <w:rFonts w:ascii="Times New Roman" w:eastAsia="標楷體" w:hAnsi="標楷體"/>
          <w:b/>
          <w:kern w:val="0"/>
          <w:sz w:val="32"/>
          <w:szCs w:val="36"/>
        </w:rPr>
        <w:t>、</w:t>
      </w:r>
      <w:r w:rsidRPr="006A1E48">
        <w:rPr>
          <w:rFonts w:ascii="Times New Roman" w:eastAsia="標楷體" w:hAnsi="標楷體" w:hint="eastAsia"/>
          <w:b/>
          <w:kern w:val="0"/>
          <w:sz w:val="32"/>
          <w:szCs w:val="36"/>
        </w:rPr>
        <w:t>公用設備技術項目應符合之</w:t>
      </w:r>
      <w:r w:rsidRPr="006A1E48">
        <w:rPr>
          <w:rFonts w:ascii="Times New Roman" w:eastAsia="標楷體" w:hAnsi="標楷體"/>
          <w:b/>
          <w:sz w:val="32"/>
          <w:szCs w:val="36"/>
        </w:rPr>
        <w:t>最佳可行技術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Times New Roman" w:eastAsia="標楷體" w:hAnsi="標楷體"/>
          <w:sz w:val="28"/>
          <w:szCs w:val="28"/>
        </w:rPr>
      </w:pP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公用設備技術項目應符合</w:t>
      </w:r>
      <w:r w:rsidRPr="006A1E48">
        <w:rPr>
          <w:rFonts w:ascii="Times New Roman" w:eastAsia="標楷體" w:hAnsi="Times New Roman" w:hint="eastAsia"/>
          <w:sz w:val="28"/>
          <w:szCs w:val="28"/>
        </w:rPr>
        <w:t>下列</w:t>
      </w:r>
      <w:r w:rsidRPr="006A1E48">
        <w:rPr>
          <w:rFonts w:ascii="Times New Roman" w:eastAsia="標楷體" w:hAnsi="Times New Roman"/>
          <w:sz w:val="28"/>
          <w:szCs w:val="28"/>
        </w:rPr>
        <w:t>歐盟「</w:t>
      </w:r>
      <w:r w:rsidRPr="006A1E48">
        <w:rPr>
          <w:rFonts w:ascii="Times New Roman" w:eastAsia="標楷體" w:hAnsi="標楷體"/>
          <w:kern w:val="0"/>
          <w:sz w:val="28"/>
          <w:szCs w:val="28"/>
        </w:rPr>
        <w:t>能源效率</w:t>
      </w:r>
      <w:r w:rsidRPr="006A1E48">
        <w:rPr>
          <w:rFonts w:ascii="Times New Roman" w:eastAsia="標楷體" w:hAnsi="Times New Roman"/>
          <w:sz w:val="28"/>
          <w:szCs w:val="28"/>
        </w:rPr>
        <w:t>最佳可行技術參考文件</w:t>
      </w:r>
      <w:r w:rsidRPr="006A1E48">
        <w:rPr>
          <w:rFonts w:ascii="Times New Roman" w:eastAsia="標楷體" w:hAnsi="Times New Roman" w:hint="eastAsia"/>
          <w:sz w:val="28"/>
          <w:szCs w:val="28"/>
        </w:rPr>
        <w:t>（</w:t>
      </w:r>
      <w:r w:rsidRPr="006A1E48">
        <w:rPr>
          <w:rFonts w:ascii="Times New Roman" w:eastAsia="標楷體" w:hAnsi="Times New Roman"/>
          <w:sz w:val="28"/>
          <w:szCs w:val="28"/>
        </w:rPr>
        <w:t>Reference Document on Best Available Techniques for Energy Efficiency</w:t>
      </w:r>
      <w:r w:rsidRPr="006A1E48">
        <w:rPr>
          <w:rFonts w:ascii="Times New Roman" w:eastAsia="標楷體" w:hAnsi="Times New Roman" w:hint="eastAsia"/>
          <w:sz w:val="28"/>
          <w:szCs w:val="28"/>
        </w:rPr>
        <w:t>）</w:t>
      </w:r>
      <w:hyperlink r:id="rId9" w:history="1"/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Times New Roman" w:hint="eastAsia"/>
          <w:sz w:val="28"/>
          <w:szCs w:val="28"/>
        </w:rPr>
        <w:t>適用版本</w:t>
      </w:r>
      <w:r w:rsidRPr="006A1E48">
        <w:rPr>
          <w:rFonts w:ascii="Times New Roman" w:eastAsia="標楷體" w:hAnsi="Times New Roman"/>
          <w:sz w:val="28"/>
          <w:szCs w:val="28"/>
        </w:rPr>
        <w:t>所列示「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新設廠（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New plants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或</w:t>
      </w:r>
      <w:r w:rsidRPr="006A1E48">
        <w:rPr>
          <w:rFonts w:ascii="Times New Roman" w:eastAsia="標楷體" w:hAnsi="Times New Roman"/>
          <w:sz w:val="28"/>
          <w:szCs w:val="28"/>
        </w:rPr>
        <w:t>「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新設備（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New installations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公用設備技術項目之內容</w:t>
      </w:r>
      <w:r w:rsidRPr="006A1E48">
        <w:rPr>
          <w:rFonts w:ascii="Times New Roman" w:eastAsia="標楷體" w:hAnsi="Times New Roman" w:hint="eastAsia"/>
          <w:sz w:val="28"/>
          <w:szCs w:val="28"/>
        </w:rPr>
        <w:t>。</w:t>
      </w:r>
    </w:p>
    <w:tbl>
      <w:tblPr>
        <w:tblW w:w="8092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5"/>
        <w:gridCol w:w="2387"/>
      </w:tblGrid>
      <w:tr w:rsidR="006A1E48" w:rsidRPr="006A1E48" w:rsidTr="00380116">
        <w:trPr>
          <w:trHeight w:val="345"/>
          <w:tblHeader/>
          <w:jc w:val="center"/>
        </w:trPr>
        <w:tc>
          <w:tcPr>
            <w:tcW w:w="5705" w:type="dxa"/>
            <w:shd w:val="clear" w:color="auto" w:fill="auto"/>
          </w:tcPr>
          <w:p w:rsidR="00276025" w:rsidRPr="006A1E48" w:rsidRDefault="00276025" w:rsidP="0038011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「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最佳可行技術參考文件」</w:t>
            </w:r>
          </w:p>
        </w:tc>
        <w:tc>
          <w:tcPr>
            <w:tcW w:w="2387" w:type="dxa"/>
            <w:shd w:val="clear" w:color="auto" w:fill="auto"/>
          </w:tcPr>
          <w:p w:rsidR="00276025" w:rsidRPr="006A1E48" w:rsidRDefault="00276025" w:rsidP="00380116">
            <w:pPr>
              <w:widowControl/>
              <w:tabs>
                <w:tab w:val="center" w:pos="58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適用版本</w:t>
            </w:r>
          </w:p>
        </w:tc>
      </w:tr>
      <w:tr w:rsidR="006A1E48" w:rsidRPr="006A1E48" w:rsidTr="00380116">
        <w:trPr>
          <w:trHeight w:val="345"/>
          <w:tblHeader/>
          <w:jc w:val="center"/>
        </w:trPr>
        <w:tc>
          <w:tcPr>
            <w:tcW w:w="5705" w:type="dxa"/>
            <w:shd w:val="clear" w:color="auto" w:fill="auto"/>
          </w:tcPr>
          <w:p w:rsidR="00276025" w:rsidRPr="006A1E48" w:rsidRDefault="00276025" w:rsidP="00380116">
            <w:pPr>
              <w:widowControl/>
              <w:adjustRightInd w:val="0"/>
              <w:snapToGrid w:val="0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能源效率</w:t>
            </w:r>
          </w:p>
          <w:p w:rsidR="00276025" w:rsidRPr="006A1E48" w:rsidRDefault="00A33046" w:rsidP="0038011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10" w:history="1">
              <w:r w:rsidR="00276025" w:rsidRPr="006A1E48">
                <w:rPr>
                  <w:rStyle w:val="af2"/>
                  <w:rFonts w:ascii="Times New Roman" w:eastAsia="標楷體" w:hAnsi="Times New Roman"/>
                  <w:color w:val="auto"/>
                  <w:kern w:val="0"/>
                  <w:sz w:val="28"/>
                  <w:szCs w:val="24"/>
                  <w:u w:val="none"/>
                </w:rPr>
                <w:t>Energy Efficiency</w:t>
              </w:r>
            </w:hyperlink>
          </w:p>
        </w:tc>
        <w:tc>
          <w:tcPr>
            <w:tcW w:w="2387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tabs>
                <w:tab w:val="center" w:pos="58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hyperlink r:id="rId11" w:tgtFrame="_blank" w:history="1">
              <w:r w:rsidR="00276025" w:rsidRPr="006A1E48">
                <w:rPr>
                  <w:rStyle w:val="af2"/>
                  <w:rFonts w:ascii="Times New Roman" w:eastAsia="標楷體" w:hAnsi="Times New Roman"/>
                  <w:color w:val="auto"/>
                  <w:kern w:val="0"/>
                  <w:sz w:val="28"/>
                  <w:szCs w:val="24"/>
                  <w:u w:val="none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kern w:val="0"/>
                <w:sz w:val="28"/>
                <w:szCs w:val="24"/>
              </w:rPr>
              <w:t>2009</w:t>
            </w:r>
            <w:r w:rsidR="00276025"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）</w:t>
            </w:r>
            <w:r w:rsidR="00276025"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  <w:vertAlign w:val="superscript"/>
              </w:rPr>
              <w:t>註</w:t>
            </w:r>
          </w:p>
        </w:tc>
      </w:tr>
    </w:tbl>
    <w:p w:rsidR="00276025" w:rsidRPr="006A1E48" w:rsidRDefault="00276025" w:rsidP="00276025">
      <w:pPr>
        <w:widowControl/>
        <w:adjustRightInd w:val="0"/>
        <w:snapToGrid w:val="0"/>
        <w:ind w:left="480" w:hangingChars="200" w:hanging="480"/>
        <w:jc w:val="both"/>
        <w:rPr>
          <w:rFonts w:ascii="Times New Roman" w:eastAsia="標楷體" w:hAnsi="Times New Roman"/>
          <w:szCs w:val="28"/>
        </w:rPr>
      </w:pPr>
      <w:r w:rsidRPr="006A1E48">
        <w:rPr>
          <w:rFonts w:ascii="Times New Roman" w:eastAsia="標楷體" w:hAnsi="標楷體" w:hint="eastAsia"/>
          <w:kern w:val="0"/>
          <w:szCs w:val="24"/>
        </w:rPr>
        <w:t>註：</w:t>
      </w:r>
      <w:r w:rsidRPr="006A1E48">
        <w:rPr>
          <w:rFonts w:ascii="Times New Roman" w:eastAsia="標楷體" w:hAnsi="Times New Roman" w:hint="eastAsia"/>
          <w:szCs w:val="28"/>
        </w:rPr>
        <w:t>BREF</w:t>
      </w:r>
      <w:r w:rsidRPr="006A1E48">
        <w:rPr>
          <w:rFonts w:ascii="Times New Roman" w:eastAsia="標楷體" w:hAnsi="Times New Roman" w:hint="eastAsia"/>
          <w:szCs w:val="28"/>
        </w:rPr>
        <w:t>係指歐盟「工業排放指令（</w:t>
      </w:r>
      <w:r w:rsidRPr="006A1E48">
        <w:rPr>
          <w:rFonts w:ascii="Times New Roman" w:eastAsia="標楷體" w:hAnsi="Times New Roman" w:hint="eastAsia"/>
          <w:szCs w:val="28"/>
        </w:rPr>
        <w:t>Directive 2010/75 on industrial emissions</w:t>
      </w:r>
      <w:r w:rsidRPr="006A1E48">
        <w:rPr>
          <w:rFonts w:ascii="Times New Roman" w:eastAsia="標楷體" w:hAnsi="Times New Roman" w:hint="eastAsia"/>
          <w:szCs w:val="28"/>
        </w:rPr>
        <w:t>；簡稱</w:t>
      </w:r>
      <w:r w:rsidRPr="006A1E48">
        <w:rPr>
          <w:rFonts w:ascii="Times New Roman" w:eastAsia="標楷體" w:hAnsi="Times New Roman" w:hint="eastAsia"/>
          <w:szCs w:val="28"/>
        </w:rPr>
        <w:t>IED</w:t>
      </w:r>
      <w:r w:rsidRPr="006A1E48">
        <w:rPr>
          <w:rFonts w:ascii="Times New Roman" w:eastAsia="標楷體" w:hAnsi="Times New Roman" w:hint="eastAsia"/>
          <w:szCs w:val="28"/>
        </w:rPr>
        <w:t>）」最佳可行技術參考文件系列（</w:t>
      </w:r>
      <w:r w:rsidRPr="006A1E48">
        <w:rPr>
          <w:rFonts w:ascii="Times New Roman" w:eastAsia="標楷體" w:hAnsi="Times New Roman"/>
          <w:szCs w:val="28"/>
        </w:rPr>
        <w:t>Best</w:t>
      </w:r>
      <w:r w:rsidRPr="006A1E48" w:rsidDel="00BA5CC3">
        <w:rPr>
          <w:rFonts w:ascii="Times New Roman" w:eastAsia="標楷體" w:hAnsi="Times New Roman"/>
          <w:szCs w:val="28"/>
        </w:rPr>
        <w:t xml:space="preserve"> </w:t>
      </w:r>
      <w:r w:rsidRPr="006A1E48">
        <w:rPr>
          <w:rFonts w:ascii="Times New Roman" w:eastAsia="標楷體" w:hAnsi="Times New Roman"/>
          <w:szCs w:val="28"/>
        </w:rPr>
        <w:t>Available</w:t>
      </w:r>
      <w:r w:rsidRPr="006A1E48" w:rsidDel="00BA5CC3">
        <w:rPr>
          <w:rFonts w:ascii="Times New Roman" w:eastAsia="標楷體" w:hAnsi="Times New Roman"/>
          <w:szCs w:val="28"/>
        </w:rPr>
        <w:t xml:space="preserve"> </w:t>
      </w:r>
      <w:r w:rsidRPr="006A1E48">
        <w:rPr>
          <w:rFonts w:ascii="Times New Roman" w:eastAsia="標楷體" w:hAnsi="Times New Roman"/>
          <w:szCs w:val="28"/>
        </w:rPr>
        <w:t>Techniques</w:t>
      </w:r>
      <w:r w:rsidRPr="006A1E48">
        <w:rPr>
          <w:rFonts w:ascii="Times New Roman" w:eastAsia="標楷體" w:hAnsi="Times New Roman" w:hint="eastAsia"/>
          <w:szCs w:val="28"/>
        </w:rPr>
        <w:t xml:space="preserve"> R</w:t>
      </w:r>
      <w:r w:rsidRPr="006A1E48">
        <w:rPr>
          <w:rFonts w:ascii="Times New Roman" w:eastAsia="標楷體" w:hAnsi="Times New Roman"/>
          <w:szCs w:val="28"/>
        </w:rPr>
        <w:t xml:space="preserve">eference </w:t>
      </w:r>
      <w:r w:rsidRPr="006A1E48">
        <w:rPr>
          <w:rFonts w:ascii="Times New Roman" w:eastAsia="標楷體" w:hAnsi="Times New Roman" w:hint="eastAsia"/>
          <w:szCs w:val="28"/>
        </w:rPr>
        <w:t>D</w:t>
      </w:r>
      <w:r w:rsidRPr="006A1E48">
        <w:rPr>
          <w:rFonts w:ascii="Times New Roman" w:eastAsia="標楷體" w:hAnsi="Times New Roman"/>
          <w:szCs w:val="28"/>
        </w:rPr>
        <w:t>ocument</w:t>
      </w:r>
      <w:r w:rsidRPr="006A1E48">
        <w:rPr>
          <w:rFonts w:ascii="Times New Roman" w:eastAsia="標楷體" w:hAnsi="Times New Roman" w:hint="eastAsia"/>
          <w:szCs w:val="28"/>
        </w:rPr>
        <w:t>s</w:t>
      </w:r>
      <w:r w:rsidRPr="006A1E48">
        <w:rPr>
          <w:rFonts w:ascii="Times New Roman" w:eastAsia="標楷體" w:hAnsi="Times New Roman" w:hint="eastAsia"/>
          <w:szCs w:val="28"/>
        </w:rPr>
        <w:t>）；</w:t>
      </w:r>
      <w:hyperlink r:id="rId12" w:tgtFrame="_blank" w:history="1">
        <w:r w:rsidRPr="006A1E48">
          <w:rPr>
            <w:rStyle w:val="af2"/>
            <w:rFonts w:ascii="Times New Roman" w:eastAsia="標楷體" w:hAnsi="Times New Roman"/>
            <w:color w:val="auto"/>
            <w:kern w:val="0"/>
            <w:szCs w:val="28"/>
            <w:u w:val="none"/>
          </w:rPr>
          <w:t>BREF</w:t>
        </w:r>
      </w:hyperlink>
      <w:r w:rsidRPr="006A1E48">
        <w:rPr>
          <w:rFonts w:ascii="Times New Roman" w:eastAsia="標楷體" w:hAnsi="Times New Roman" w:hint="eastAsia"/>
          <w:sz w:val="28"/>
          <w:szCs w:val="28"/>
        </w:rPr>
        <w:t>（</w:t>
      </w:r>
      <w:r w:rsidRPr="006A1E48">
        <w:rPr>
          <w:rFonts w:ascii="Times New Roman" w:eastAsia="標楷體" w:hAnsi="Times New Roman"/>
          <w:kern w:val="0"/>
          <w:szCs w:val="28"/>
        </w:rPr>
        <w:t>2009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）</w:t>
      </w:r>
      <w:r w:rsidRPr="006A1E48">
        <w:rPr>
          <w:rFonts w:ascii="Times New Roman" w:eastAsia="標楷體" w:hAnsi="Times New Roman" w:hint="eastAsia"/>
          <w:kern w:val="0"/>
          <w:szCs w:val="28"/>
        </w:rPr>
        <w:t>係指</w:t>
      </w:r>
      <w:r w:rsidRPr="006A1E48">
        <w:rPr>
          <w:rFonts w:ascii="Times New Roman" w:eastAsia="標楷體" w:hAnsi="Times New Roman" w:hint="eastAsia"/>
          <w:kern w:val="0"/>
          <w:szCs w:val="28"/>
        </w:rPr>
        <w:t>2009</w:t>
      </w:r>
      <w:r w:rsidRPr="006A1E48">
        <w:rPr>
          <w:rFonts w:ascii="Times New Roman" w:eastAsia="標楷體" w:hAnsi="Times New Roman" w:hint="eastAsia"/>
          <w:kern w:val="0"/>
          <w:szCs w:val="28"/>
        </w:rPr>
        <w:t>年之版本</w:t>
      </w:r>
      <w:r w:rsidRPr="006A1E48">
        <w:rPr>
          <w:rFonts w:ascii="Times New Roman" w:eastAsia="標楷體" w:hAnsi="Times New Roman" w:hint="eastAsia"/>
          <w:szCs w:val="28"/>
        </w:rPr>
        <w:t>。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ind w:left="1274" w:hangingChars="455" w:hanging="1274"/>
        <w:rPr>
          <w:rFonts w:ascii="Times New Roman" w:eastAsia="標楷體" w:hAnsi="標楷體"/>
          <w:b/>
          <w:kern w:val="0"/>
          <w:sz w:val="32"/>
          <w:szCs w:val="32"/>
          <w:highlight w:val="yellow"/>
        </w:rPr>
      </w:pPr>
      <w:r w:rsidRPr="006A1E48">
        <w:rPr>
          <w:rFonts w:ascii="Times New Roman" w:eastAsia="標楷體" w:hAnsi="Times New Roman"/>
          <w:sz w:val="28"/>
          <w:szCs w:val="28"/>
        </w:rPr>
        <w:br w:type="page"/>
      </w:r>
      <w:r w:rsidRPr="006A1E48">
        <w:rPr>
          <w:rFonts w:ascii="Times New Roman" w:eastAsia="標楷體" w:hAnsi="標楷體"/>
          <w:b/>
          <w:kern w:val="0"/>
          <w:sz w:val="32"/>
          <w:szCs w:val="32"/>
        </w:rPr>
        <w:lastRenderedPageBreak/>
        <w:t>附表</w:t>
      </w:r>
      <w:r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二</w:t>
      </w:r>
      <w:r w:rsidRPr="006A1E48">
        <w:rPr>
          <w:rFonts w:ascii="Times New Roman" w:eastAsia="標楷體" w:hAnsi="標楷體"/>
          <w:b/>
          <w:kern w:val="0"/>
          <w:sz w:val="32"/>
          <w:szCs w:val="32"/>
        </w:rPr>
        <w:t>、</w:t>
      </w:r>
      <w:r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電力</w:t>
      </w:r>
      <w:r w:rsidR="004D79EC" w:rsidRPr="006A1E48">
        <w:rPr>
          <w:rFonts w:ascii="Times New Roman" w:eastAsia="標楷體" w:hAnsi="標楷體"/>
          <w:b/>
          <w:kern w:val="0"/>
          <w:sz w:val="32"/>
          <w:szCs w:val="32"/>
        </w:rPr>
        <w:t>類</w:t>
      </w:r>
      <w:r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或汽電共生類製程技術項目應符合之最佳可行技術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一、</w:t>
      </w:r>
      <w:r w:rsidRPr="006A1E48">
        <w:rPr>
          <w:rFonts w:ascii="Times New Roman" w:eastAsia="標楷體" w:hAnsi="Times New Roman"/>
          <w:sz w:val="28"/>
          <w:szCs w:val="28"/>
        </w:rPr>
        <w:t>電力類：</w:t>
      </w:r>
    </w:p>
    <w:p w:rsidR="00276025" w:rsidRPr="006A1E48" w:rsidRDefault="00276025" w:rsidP="00276025">
      <w:pPr>
        <w:widowControl/>
        <w:adjustRightInd w:val="0"/>
        <w:snapToGrid w:val="0"/>
        <w:spacing w:afterLines="50" w:after="180" w:line="46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應符合下列</w:t>
      </w:r>
      <w:r w:rsidRPr="006A1E48">
        <w:rPr>
          <w:rFonts w:ascii="Times New Roman" w:eastAsia="標楷體" w:hAnsi="Times New Roman"/>
          <w:sz w:val="28"/>
          <w:szCs w:val="28"/>
        </w:rPr>
        <w:t>歐盟「</w:t>
      </w:r>
      <w:r w:rsidRPr="006A1E48">
        <w:rPr>
          <w:rFonts w:ascii="Times New Roman" w:eastAsia="標楷體" w:hAnsi="標楷體"/>
          <w:kern w:val="0"/>
          <w:sz w:val="28"/>
          <w:szCs w:val="28"/>
        </w:rPr>
        <w:t>大型燃燒廠</w:t>
      </w:r>
      <w:r w:rsidRPr="006A1E48">
        <w:rPr>
          <w:rFonts w:ascii="Times New Roman" w:eastAsia="標楷體" w:hAnsi="Times New Roman"/>
          <w:sz w:val="28"/>
          <w:szCs w:val="28"/>
        </w:rPr>
        <w:t>最佳可行技術參考文件</w:t>
      </w:r>
      <w:r w:rsidRPr="006A1E48">
        <w:rPr>
          <w:rFonts w:ascii="Times New Roman" w:eastAsia="標楷體" w:hAnsi="Times New Roman" w:hint="eastAsia"/>
          <w:sz w:val="28"/>
          <w:szCs w:val="28"/>
        </w:rPr>
        <w:t>（</w:t>
      </w:r>
      <w:r w:rsidRPr="006A1E48">
        <w:rPr>
          <w:rFonts w:ascii="Times New Roman" w:eastAsia="標楷體" w:hAnsi="Times New Roman"/>
          <w:sz w:val="28"/>
          <w:szCs w:val="28"/>
        </w:rPr>
        <w:t>Reference Document on Best Available Techniques for</w:t>
      </w:r>
      <w:r w:rsidRPr="006A1E48">
        <w:rPr>
          <w:rFonts w:ascii="Times New Roman" w:eastAsia="標楷體" w:hAnsi="Times New Roman" w:hint="eastAsia"/>
          <w:sz w:val="28"/>
          <w:szCs w:val="28"/>
        </w:rPr>
        <w:t xml:space="preserve"> </w:t>
      </w:r>
      <w:hyperlink r:id="rId13" w:history="1">
        <w:r w:rsidRPr="006A1E48">
          <w:rPr>
            <w:rStyle w:val="af2"/>
            <w:rFonts w:ascii="Times New Roman" w:eastAsia="標楷體" w:hAnsi="Times New Roman"/>
            <w:color w:val="auto"/>
            <w:kern w:val="0"/>
            <w:sz w:val="28"/>
            <w:szCs w:val="28"/>
            <w:u w:val="none"/>
          </w:rPr>
          <w:t>Large Combustion Plants</w:t>
        </w:r>
      </w:hyperlink>
      <w:r w:rsidRPr="006A1E48">
        <w:rPr>
          <w:rFonts w:ascii="Times New Roman" w:eastAsia="標楷體" w:hAnsi="Times New Roman" w:hint="eastAsia"/>
          <w:sz w:val="28"/>
          <w:szCs w:val="28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Times New Roman" w:hint="eastAsia"/>
          <w:sz w:val="28"/>
          <w:szCs w:val="28"/>
        </w:rPr>
        <w:t>適用版本</w:t>
      </w:r>
      <w:r w:rsidRPr="006A1E48">
        <w:rPr>
          <w:rFonts w:ascii="Times New Roman" w:eastAsia="標楷體" w:hAnsi="Times New Roman"/>
          <w:sz w:val="28"/>
          <w:szCs w:val="28"/>
        </w:rPr>
        <w:t>所列示「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新設廠（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New plants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或</w:t>
      </w:r>
      <w:r w:rsidRPr="006A1E48">
        <w:rPr>
          <w:rFonts w:ascii="Times New Roman" w:eastAsia="標楷體" w:hAnsi="Times New Roman"/>
          <w:sz w:val="28"/>
          <w:szCs w:val="28"/>
        </w:rPr>
        <w:t>「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新設備（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New installations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能源效率相關製程技術項目之內容</w:t>
      </w:r>
      <w:r w:rsidRPr="006A1E48">
        <w:rPr>
          <w:rFonts w:ascii="Times New Roman" w:eastAsia="標楷體" w:hAnsi="Times New Roman"/>
          <w:sz w:val="28"/>
          <w:szCs w:val="28"/>
        </w:rPr>
        <w:t>及效率值</w:t>
      </w:r>
      <w:r w:rsidRPr="006A1E48">
        <w:rPr>
          <w:rFonts w:ascii="Times New Roman" w:eastAsia="標楷體" w:hAnsi="Times New Roman" w:hint="eastAsia"/>
          <w:sz w:val="28"/>
          <w:szCs w:val="28"/>
        </w:rPr>
        <w:t>。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2"/>
        <w:gridCol w:w="2734"/>
      </w:tblGrid>
      <w:tr w:rsidR="006A1E48" w:rsidRPr="006A1E48" w:rsidTr="00380116">
        <w:trPr>
          <w:trHeight w:val="527"/>
          <w:tblHeader/>
          <w:jc w:val="center"/>
        </w:trPr>
        <w:tc>
          <w:tcPr>
            <w:tcW w:w="6052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行業別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「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8"/>
              </w:rPr>
              <w:t>最佳可行技術參考文件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」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tabs>
                <w:tab w:val="center" w:pos="58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8"/>
              </w:rPr>
              <w:t>適用版本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6052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adjustRightInd w:val="0"/>
              <w:snapToGrid w:val="0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8"/>
              </w:rPr>
              <w:t>大型燃燒廠</w:t>
            </w:r>
          </w:p>
          <w:p w:rsidR="00276025" w:rsidRPr="006A1E48" w:rsidRDefault="00A33046" w:rsidP="0038011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hyperlink r:id="rId14" w:history="1">
              <w:r w:rsidR="00276025" w:rsidRPr="006A1E48">
                <w:rPr>
                  <w:rStyle w:val="af2"/>
                  <w:rFonts w:ascii="Times New Roman" w:eastAsia="標楷體" w:hAnsi="Times New Roman"/>
                  <w:color w:val="auto"/>
                  <w:kern w:val="0"/>
                  <w:sz w:val="28"/>
                  <w:szCs w:val="28"/>
                  <w:u w:val="none"/>
                </w:rPr>
                <w:t>Large Combustion Plants</w:t>
              </w:r>
            </w:hyperlink>
          </w:p>
        </w:tc>
        <w:tc>
          <w:tcPr>
            <w:tcW w:w="273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tabs>
                <w:tab w:val="center" w:pos="58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BREF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</w:t>
            </w:r>
            <w:r w:rsidRPr="006A1E48">
              <w:rPr>
                <w:rFonts w:ascii="Times New Roman" w:eastAsia="標楷體" w:hAnsi="Times New Roman"/>
                <w:kern w:val="0"/>
                <w:sz w:val="28"/>
                <w:szCs w:val="28"/>
              </w:rPr>
              <w:t>20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06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）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  <w:vertAlign w:val="superscript"/>
              </w:rPr>
              <w:t>註</w:t>
            </w:r>
          </w:p>
        </w:tc>
      </w:tr>
    </w:tbl>
    <w:p w:rsidR="00276025" w:rsidRPr="006A1E48" w:rsidRDefault="00276025" w:rsidP="00276025">
      <w:pPr>
        <w:widowControl/>
        <w:adjustRightInd w:val="0"/>
        <w:snapToGrid w:val="0"/>
        <w:spacing w:afterLines="50" w:after="180"/>
        <w:ind w:leftChars="1" w:left="424" w:hangingChars="176" w:hanging="42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A1E48">
        <w:rPr>
          <w:rFonts w:ascii="Times New Roman" w:eastAsia="標楷體" w:hAnsi="標楷體" w:hint="eastAsia"/>
          <w:kern w:val="0"/>
          <w:szCs w:val="24"/>
        </w:rPr>
        <w:t>註：</w:t>
      </w:r>
      <w:r w:rsidRPr="006A1E48">
        <w:rPr>
          <w:rFonts w:ascii="Times New Roman" w:eastAsia="標楷體" w:hAnsi="標楷體" w:hint="eastAsia"/>
          <w:kern w:val="0"/>
          <w:szCs w:val="24"/>
        </w:rPr>
        <w:t>BREF</w:t>
      </w:r>
      <w:r w:rsidRPr="006A1E48">
        <w:rPr>
          <w:rFonts w:ascii="Times New Roman" w:eastAsia="標楷體" w:hAnsi="標楷體" w:hint="eastAsia"/>
          <w:kern w:val="0"/>
          <w:szCs w:val="24"/>
        </w:rPr>
        <w:t>係指歐盟「工業排放指令（</w:t>
      </w:r>
      <w:r w:rsidRPr="006A1E48">
        <w:rPr>
          <w:rFonts w:ascii="Times New Roman" w:eastAsia="標楷體" w:hAnsi="標楷體" w:hint="eastAsia"/>
          <w:kern w:val="0"/>
          <w:szCs w:val="24"/>
        </w:rPr>
        <w:t>Directive 2010/75 on industrial emissions</w:t>
      </w:r>
      <w:r w:rsidRPr="006A1E48">
        <w:rPr>
          <w:rFonts w:ascii="Times New Roman" w:eastAsia="標楷體" w:hAnsi="標楷體" w:hint="eastAsia"/>
          <w:kern w:val="0"/>
          <w:szCs w:val="24"/>
        </w:rPr>
        <w:t>；簡稱</w:t>
      </w:r>
      <w:r w:rsidRPr="006A1E48">
        <w:rPr>
          <w:rFonts w:ascii="Times New Roman" w:eastAsia="標楷體" w:hAnsi="標楷體" w:hint="eastAsia"/>
          <w:kern w:val="0"/>
          <w:szCs w:val="24"/>
        </w:rPr>
        <w:t>IED</w:t>
      </w:r>
      <w:r w:rsidRPr="006A1E48">
        <w:rPr>
          <w:rFonts w:ascii="Times New Roman" w:eastAsia="標楷體" w:hAnsi="標楷體" w:hint="eastAsia"/>
          <w:kern w:val="0"/>
          <w:szCs w:val="24"/>
        </w:rPr>
        <w:t>）」最佳可行技術參考文件系列（</w:t>
      </w:r>
      <w:r w:rsidRPr="006A1E48">
        <w:rPr>
          <w:rFonts w:ascii="Times New Roman" w:eastAsia="標楷體" w:hAnsi="標楷體" w:hint="eastAsia"/>
          <w:kern w:val="0"/>
          <w:szCs w:val="24"/>
        </w:rPr>
        <w:t>Best Available Techniques Reference Documents</w:t>
      </w:r>
      <w:r w:rsidRPr="006A1E48">
        <w:rPr>
          <w:rFonts w:ascii="Times New Roman" w:eastAsia="標楷體" w:hAnsi="標楷體" w:hint="eastAsia"/>
          <w:kern w:val="0"/>
          <w:szCs w:val="24"/>
        </w:rPr>
        <w:t>）</w:t>
      </w:r>
      <w:r w:rsidRPr="006A1E48">
        <w:rPr>
          <w:rFonts w:ascii="Times New Roman" w:eastAsia="標楷體" w:hAnsi="Times New Roman" w:hint="eastAsia"/>
          <w:szCs w:val="28"/>
        </w:rPr>
        <w:t>；</w:t>
      </w:r>
      <w:r w:rsidRPr="006A1E48">
        <w:rPr>
          <w:rFonts w:ascii="Times New Roman" w:eastAsia="標楷體" w:hAnsi="Times New Roman" w:hint="eastAsia"/>
          <w:kern w:val="0"/>
          <w:szCs w:val="28"/>
        </w:rPr>
        <w:t>BREF</w:t>
      </w:r>
      <w:r w:rsidRPr="006A1E48">
        <w:rPr>
          <w:rFonts w:ascii="Times New Roman" w:eastAsia="標楷體" w:hAnsi="標楷體" w:hint="eastAsia"/>
          <w:kern w:val="0"/>
          <w:szCs w:val="24"/>
        </w:rPr>
        <w:t>（</w:t>
      </w:r>
      <w:r w:rsidRPr="006A1E48">
        <w:rPr>
          <w:rFonts w:ascii="Times New Roman" w:eastAsia="標楷體" w:hAnsi="Times New Roman"/>
          <w:kern w:val="0"/>
          <w:szCs w:val="28"/>
        </w:rPr>
        <w:t>2</w:t>
      </w:r>
      <w:r w:rsidRPr="006A1E48">
        <w:rPr>
          <w:rFonts w:ascii="Times New Roman" w:eastAsia="標楷體" w:hAnsi="Times New Roman" w:hint="eastAsia"/>
          <w:kern w:val="0"/>
          <w:szCs w:val="28"/>
        </w:rPr>
        <w:t>006</w:t>
      </w:r>
      <w:r w:rsidRPr="006A1E48">
        <w:rPr>
          <w:rFonts w:ascii="Times New Roman" w:eastAsia="標楷體" w:hAnsi="標楷體" w:hint="eastAsia"/>
          <w:kern w:val="0"/>
          <w:szCs w:val="24"/>
        </w:rPr>
        <w:t>）</w:t>
      </w:r>
      <w:r w:rsidRPr="006A1E48">
        <w:rPr>
          <w:rFonts w:ascii="Times New Roman" w:eastAsia="標楷體" w:hAnsi="Times New Roman" w:hint="eastAsia"/>
          <w:kern w:val="0"/>
          <w:szCs w:val="28"/>
        </w:rPr>
        <w:t>係指</w:t>
      </w:r>
      <w:r w:rsidRPr="006A1E48">
        <w:rPr>
          <w:rFonts w:ascii="Times New Roman" w:eastAsia="標楷體" w:hAnsi="Times New Roman" w:hint="eastAsia"/>
          <w:kern w:val="0"/>
          <w:szCs w:val="28"/>
        </w:rPr>
        <w:t>2006</w:t>
      </w:r>
      <w:r w:rsidRPr="006A1E48">
        <w:rPr>
          <w:rFonts w:ascii="Times New Roman" w:eastAsia="標楷體" w:hAnsi="Times New Roman" w:hint="eastAsia"/>
          <w:kern w:val="0"/>
          <w:szCs w:val="28"/>
        </w:rPr>
        <w:t>年之版本</w:t>
      </w:r>
      <w:r w:rsidRPr="006A1E48">
        <w:rPr>
          <w:rFonts w:ascii="Times New Roman" w:eastAsia="標楷體" w:hAnsi="Times New Roman" w:hint="eastAsia"/>
          <w:szCs w:val="28"/>
        </w:rPr>
        <w:t>。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二、汽電共生類：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（一）應符合歐盟相同行業「最佳可行技術參考文件」關於汽電共生之內容。</w:t>
      </w:r>
    </w:p>
    <w:p w:rsidR="00276025" w:rsidRPr="006A1E48" w:rsidRDefault="00276025" w:rsidP="00276025">
      <w:pPr>
        <w:widowControl/>
        <w:adjustRightInd w:val="0"/>
        <w:snapToGrid w:val="0"/>
        <w:spacing w:afterLines="50" w:after="180"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（二）無前項者，應符合下列歐盟</w:t>
      </w:r>
      <w:r w:rsidRPr="006A1E48">
        <w:rPr>
          <w:rFonts w:ascii="Times New Roman" w:eastAsia="標楷體" w:hAnsi="Times New Roman"/>
          <w:sz w:val="28"/>
          <w:szCs w:val="28"/>
        </w:rPr>
        <w:t>「大型燃燒廠最佳可行技術參考文件</w:t>
      </w:r>
      <w:r w:rsidRPr="006A1E48">
        <w:rPr>
          <w:rFonts w:ascii="Times New Roman" w:eastAsia="標楷體" w:hAnsi="Times New Roman" w:hint="eastAsia"/>
          <w:sz w:val="28"/>
          <w:szCs w:val="28"/>
        </w:rPr>
        <w:t>（</w:t>
      </w:r>
      <w:r w:rsidRPr="006A1E48">
        <w:rPr>
          <w:rFonts w:ascii="Times New Roman" w:eastAsia="標楷體" w:hAnsi="Times New Roman"/>
          <w:sz w:val="28"/>
          <w:szCs w:val="28"/>
        </w:rPr>
        <w:t>Reference Document on Best Available Techniques for</w:t>
      </w:r>
      <w:r w:rsidRPr="006A1E48">
        <w:rPr>
          <w:rFonts w:ascii="Times New Roman" w:eastAsia="標楷體" w:hAnsi="Times New Roman" w:hint="eastAsia"/>
          <w:sz w:val="28"/>
          <w:szCs w:val="28"/>
        </w:rPr>
        <w:t xml:space="preserve"> </w:t>
      </w:r>
      <w:hyperlink r:id="rId15" w:history="1">
        <w:r w:rsidRPr="006A1E48">
          <w:rPr>
            <w:rStyle w:val="af2"/>
            <w:rFonts w:ascii="Times New Roman" w:eastAsia="標楷體" w:hAnsi="Times New Roman"/>
            <w:color w:val="auto"/>
            <w:kern w:val="0"/>
            <w:sz w:val="28"/>
            <w:szCs w:val="28"/>
            <w:u w:val="none"/>
          </w:rPr>
          <w:t>Large Combustion Plants</w:t>
        </w:r>
      </w:hyperlink>
      <w:r w:rsidRPr="006A1E48">
        <w:rPr>
          <w:rFonts w:ascii="Times New Roman" w:eastAsia="標楷體" w:hAnsi="Times New Roman" w:hint="eastAsia"/>
          <w:sz w:val="28"/>
          <w:szCs w:val="28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Times New Roman" w:hint="eastAsia"/>
          <w:sz w:val="28"/>
          <w:szCs w:val="28"/>
        </w:rPr>
        <w:t>適用版本</w:t>
      </w:r>
      <w:r w:rsidRPr="006A1E48">
        <w:rPr>
          <w:rFonts w:ascii="Times New Roman" w:eastAsia="標楷體" w:hAnsi="Times New Roman"/>
          <w:sz w:val="28"/>
          <w:szCs w:val="28"/>
        </w:rPr>
        <w:t>所列示「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新設廠（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New plants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或</w:t>
      </w:r>
      <w:r w:rsidRPr="006A1E48">
        <w:rPr>
          <w:rFonts w:ascii="Times New Roman" w:eastAsia="標楷體" w:hAnsi="Times New Roman"/>
          <w:sz w:val="28"/>
          <w:szCs w:val="28"/>
        </w:rPr>
        <w:t>「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新設備（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New installations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能源效率相關之製程技術項目之內容</w:t>
      </w:r>
      <w:r w:rsidRPr="006A1E48">
        <w:rPr>
          <w:rFonts w:ascii="Times New Roman" w:eastAsia="標楷體" w:hAnsi="Times New Roman"/>
          <w:sz w:val="28"/>
          <w:szCs w:val="28"/>
        </w:rPr>
        <w:t>及效率值</w:t>
      </w:r>
      <w:r w:rsidRPr="006A1E48">
        <w:rPr>
          <w:rFonts w:ascii="Times New Roman" w:eastAsia="標楷體" w:hAnsi="Times New Roman" w:hint="eastAsia"/>
          <w:sz w:val="28"/>
          <w:szCs w:val="28"/>
        </w:rPr>
        <w:t>。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2"/>
        <w:gridCol w:w="2713"/>
      </w:tblGrid>
      <w:tr w:rsidR="006A1E48" w:rsidRPr="006A1E48" w:rsidTr="00380116">
        <w:trPr>
          <w:trHeight w:val="527"/>
          <w:tblHeader/>
          <w:jc w:val="center"/>
        </w:trPr>
        <w:tc>
          <w:tcPr>
            <w:tcW w:w="6032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行業別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「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8"/>
              </w:rPr>
              <w:t>最佳可行技術參考文件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」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tabs>
                <w:tab w:val="center" w:pos="585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8"/>
              </w:rPr>
              <w:t>適用版本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6032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8"/>
              </w:rPr>
              <w:t>大型燃燒廠</w:t>
            </w:r>
          </w:p>
          <w:p w:rsidR="00276025" w:rsidRPr="006A1E48" w:rsidRDefault="00A33046" w:rsidP="00380116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hyperlink r:id="rId16" w:history="1">
              <w:r w:rsidR="00276025" w:rsidRPr="006A1E48">
                <w:rPr>
                  <w:rStyle w:val="af2"/>
                  <w:rFonts w:ascii="Times New Roman" w:eastAsia="標楷體" w:hAnsi="Times New Roman"/>
                  <w:color w:val="auto"/>
                  <w:kern w:val="0"/>
                  <w:sz w:val="28"/>
                  <w:szCs w:val="28"/>
                  <w:u w:val="none"/>
                </w:rPr>
                <w:t>Large Combustion Plants</w:t>
              </w:r>
            </w:hyperlink>
          </w:p>
        </w:tc>
        <w:tc>
          <w:tcPr>
            <w:tcW w:w="2713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tabs>
                <w:tab w:val="center" w:pos="585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D1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</w:t>
            </w:r>
            <w:r w:rsidRPr="006A1E48">
              <w:rPr>
                <w:rFonts w:ascii="Times New Roman" w:eastAsia="標楷體" w:hAnsi="Times New Roman"/>
                <w:kern w:val="0"/>
                <w:sz w:val="28"/>
                <w:szCs w:val="28"/>
              </w:rPr>
              <w:t>20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13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）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  <w:vertAlign w:val="superscript"/>
              </w:rPr>
              <w:t>註</w:t>
            </w:r>
          </w:p>
        </w:tc>
      </w:tr>
    </w:tbl>
    <w:p w:rsidR="00276025" w:rsidRPr="006A1E48" w:rsidRDefault="00276025" w:rsidP="00276025">
      <w:pPr>
        <w:widowControl/>
        <w:adjustRightInd w:val="0"/>
        <w:snapToGrid w:val="0"/>
        <w:spacing w:afterLines="50" w:after="180"/>
        <w:ind w:left="425" w:hangingChars="177" w:hanging="425"/>
        <w:jc w:val="both"/>
        <w:rPr>
          <w:rFonts w:ascii="Times New Roman" w:eastAsia="標楷體" w:hAnsi="Times New Roman"/>
          <w:szCs w:val="28"/>
        </w:rPr>
      </w:pPr>
      <w:r w:rsidRPr="006A1E48">
        <w:rPr>
          <w:rFonts w:ascii="Times New Roman" w:eastAsia="標楷體" w:hAnsi="標楷體" w:hint="eastAsia"/>
          <w:kern w:val="0"/>
          <w:szCs w:val="24"/>
        </w:rPr>
        <w:t>註：</w:t>
      </w:r>
      <w:r w:rsidRPr="006A1E48">
        <w:rPr>
          <w:rFonts w:ascii="Times New Roman" w:eastAsia="標楷體" w:hAnsi="標楷體" w:hint="eastAsia"/>
          <w:kern w:val="0"/>
          <w:szCs w:val="24"/>
        </w:rPr>
        <w:t>D</w:t>
      </w:r>
      <w:r w:rsidRPr="006A1E48">
        <w:rPr>
          <w:rFonts w:ascii="Times New Roman" w:eastAsia="標楷體" w:hAnsi="Times New Roman" w:hint="eastAsia"/>
          <w:szCs w:val="28"/>
        </w:rPr>
        <w:t>係指歐盟「工業排放指令（</w:t>
      </w:r>
      <w:r w:rsidRPr="006A1E48">
        <w:rPr>
          <w:rFonts w:ascii="Times New Roman" w:eastAsia="標楷體" w:hAnsi="Times New Roman" w:hint="eastAsia"/>
          <w:szCs w:val="28"/>
        </w:rPr>
        <w:t>Directive 2010/75 on industrial emissions</w:t>
      </w:r>
      <w:r w:rsidRPr="006A1E48">
        <w:rPr>
          <w:rFonts w:ascii="Times New Roman" w:eastAsia="標楷體" w:hAnsi="Times New Roman" w:hint="eastAsia"/>
          <w:szCs w:val="28"/>
        </w:rPr>
        <w:t>；簡稱</w:t>
      </w:r>
      <w:r w:rsidRPr="006A1E48">
        <w:rPr>
          <w:rFonts w:ascii="Times New Roman" w:eastAsia="標楷體" w:hAnsi="Times New Roman" w:hint="eastAsia"/>
          <w:szCs w:val="28"/>
        </w:rPr>
        <w:t>IED</w:t>
      </w:r>
      <w:r w:rsidRPr="006A1E48">
        <w:rPr>
          <w:rFonts w:ascii="Times New Roman" w:eastAsia="標楷體" w:hAnsi="Times New Roman" w:hint="eastAsia"/>
          <w:szCs w:val="28"/>
        </w:rPr>
        <w:t>）」最佳可行技術參考文件系列（</w:t>
      </w:r>
      <w:r w:rsidRPr="006A1E48">
        <w:rPr>
          <w:rFonts w:ascii="Times New Roman" w:eastAsia="標楷體" w:hAnsi="Times New Roman"/>
          <w:szCs w:val="28"/>
        </w:rPr>
        <w:t>Best</w:t>
      </w:r>
      <w:r w:rsidRPr="006A1E48" w:rsidDel="00BA5CC3">
        <w:rPr>
          <w:rFonts w:ascii="Times New Roman" w:eastAsia="標楷體" w:hAnsi="Times New Roman"/>
          <w:szCs w:val="28"/>
        </w:rPr>
        <w:t xml:space="preserve"> </w:t>
      </w:r>
      <w:r w:rsidRPr="006A1E48">
        <w:rPr>
          <w:rFonts w:ascii="Times New Roman" w:eastAsia="標楷體" w:hAnsi="Times New Roman" w:hint="eastAsia"/>
          <w:szCs w:val="28"/>
        </w:rPr>
        <w:t xml:space="preserve"> </w:t>
      </w:r>
      <w:r w:rsidRPr="006A1E48">
        <w:rPr>
          <w:rFonts w:ascii="Times New Roman" w:eastAsia="標楷體" w:hAnsi="Times New Roman"/>
          <w:szCs w:val="28"/>
        </w:rPr>
        <w:t>Available</w:t>
      </w:r>
      <w:r w:rsidRPr="006A1E48" w:rsidDel="00BA5CC3">
        <w:rPr>
          <w:rFonts w:ascii="Times New Roman" w:eastAsia="標楷體" w:hAnsi="Times New Roman"/>
          <w:szCs w:val="28"/>
        </w:rPr>
        <w:t xml:space="preserve"> </w:t>
      </w:r>
      <w:r w:rsidRPr="006A1E48">
        <w:rPr>
          <w:rFonts w:ascii="Times New Roman" w:eastAsia="標楷體" w:hAnsi="Times New Roman"/>
          <w:szCs w:val="28"/>
        </w:rPr>
        <w:t>Techniques</w:t>
      </w:r>
      <w:r w:rsidRPr="006A1E48">
        <w:rPr>
          <w:rFonts w:ascii="Times New Roman" w:eastAsia="標楷體" w:hAnsi="Times New Roman" w:hint="eastAsia"/>
          <w:szCs w:val="28"/>
        </w:rPr>
        <w:t xml:space="preserve"> R</w:t>
      </w:r>
      <w:r w:rsidRPr="006A1E48">
        <w:rPr>
          <w:rFonts w:ascii="Times New Roman" w:eastAsia="標楷體" w:hAnsi="Times New Roman"/>
          <w:szCs w:val="28"/>
        </w:rPr>
        <w:t xml:space="preserve">eference </w:t>
      </w:r>
      <w:r w:rsidRPr="006A1E48">
        <w:rPr>
          <w:rFonts w:ascii="Times New Roman" w:eastAsia="標楷體" w:hAnsi="Times New Roman" w:hint="eastAsia"/>
          <w:szCs w:val="28"/>
        </w:rPr>
        <w:t>D</w:t>
      </w:r>
      <w:r w:rsidRPr="006A1E48">
        <w:rPr>
          <w:rFonts w:ascii="Times New Roman" w:eastAsia="標楷體" w:hAnsi="Times New Roman"/>
          <w:szCs w:val="28"/>
        </w:rPr>
        <w:t>ocument</w:t>
      </w:r>
      <w:r w:rsidRPr="006A1E48">
        <w:rPr>
          <w:rFonts w:ascii="Times New Roman" w:eastAsia="標楷體" w:hAnsi="Times New Roman" w:hint="eastAsia"/>
          <w:szCs w:val="28"/>
        </w:rPr>
        <w:t>s</w:t>
      </w:r>
      <w:r w:rsidRPr="006A1E48">
        <w:rPr>
          <w:rFonts w:ascii="Times New Roman" w:eastAsia="標楷體" w:hAnsi="Times New Roman" w:hint="eastAsia"/>
          <w:szCs w:val="28"/>
        </w:rPr>
        <w:t>）草案；</w:t>
      </w:r>
      <w:r w:rsidRPr="006A1E48">
        <w:rPr>
          <w:rFonts w:ascii="Times New Roman" w:eastAsia="標楷體" w:hAnsi="Times New Roman" w:hint="eastAsia"/>
          <w:kern w:val="0"/>
          <w:szCs w:val="28"/>
        </w:rPr>
        <w:t>D1</w:t>
      </w:r>
      <w:r w:rsidRPr="006A1E48">
        <w:rPr>
          <w:rFonts w:ascii="Times New Roman" w:eastAsia="標楷體" w:hAnsi="Times New Roman" w:hint="eastAsia"/>
          <w:kern w:val="0"/>
          <w:szCs w:val="28"/>
        </w:rPr>
        <w:t>（</w:t>
      </w:r>
      <w:r w:rsidRPr="006A1E48">
        <w:rPr>
          <w:rFonts w:ascii="Times New Roman" w:eastAsia="標楷體" w:hAnsi="Times New Roman"/>
          <w:kern w:val="0"/>
          <w:szCs w:val="28"/>
        </w:rPr>
        <w:t>20</w:t>
      </w:r>
      <w:r w:rsidRPr="006A1E48">
        <w:rPr>
          <w:rFonts w:ascii="Times New Roman" w:eastAsia="標楷體" w:hAnsi="Times New Roman" w:hint="eastAsia"/>
          <w:kern w:val="0"/>
          <w:szCs w:val="28"/>
        </w:rPr>
        <w:t>13</w:t>
      </w:r>
      <w:r w:rsidRPr="006A1E48">
        <w:rPr>
          <w:rFonts w:ascii="Times New Roman" w:eastAsia="標楷體" w:hAnsi="Times New Roman" w:hint="eastAsia"/>
          <w:kern w:val="0"/>
          <w:szCs w:val="28"/>
        </w:rPr>
        <w:t>）係指</w:t>
      </w:r>
      <w:r w:rsidRPr="006A1E48">
        <w:rPr>
          <w:rFonts w:ascii="Times New Roman" w:eastAsia="標楷體" w:hAnsi="Times New Roman" w:hint="eastAsia"/>
          <w:kern w:val="0"/>
          <w:szCs w:val="28"/>
        </w:rPr>
        <w:t>2013</w:t>
      </w:r>
      <w:r w:rsidRPr="006A1E48">
        <w:rPr>
          <w:rFonts w:ascii="Times New Roman" w:eastAsia="標楷體" w:hAnsi="Times New Roman" w:hint="eastAsia"/>
          <w:kern w:val="0"/>
          <w:szCs w:val="28"/>
        </w:rPr>
        <w:t>年之版本</w:t>
      </w:r>
      <w:r w:rsidRPr="006A1E48">
        <w:rPr>
          <w:rFonts w:ascii="Times New Roman" w:eastAsia="標楷體" w:hAnsi="Times New Roman" w:hint="eastAsia"/>
          <w:szCs w:val="28"/>
        </w:rPr>
        <w:t>。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（三）前項參考文件，表</w:t>
      </w:r>
      <w:r w:rsidRPr="006A1E48">
        <w:rPr>
          <w:rFonts w:ascii="Times New Roman" w:eastAsia="標楷體" w:hAnsi="Times New Roman" w:hint="eastAsia"/>
          <w:sz w:val="28"/>
          <w:szCs w:val="28"/>
        </w:rPr>
        <w:t>10.2</w:t>
      </w:r>
      <w:r w:rsidRPr="006A1E48">
        <w:rPr>
          <w:rFonts w:ascii="Times New Roman" w:eastAsia="標楷體" w:hAnsi="Times New Roman" w:hint="eastAsia"/>
          <w:sz w:val="28"/>
          <w:szCs w:val="28"/>
        </w:rPr>
        <w:t>所載說明（</w:t>
      </w:r>
      <w:r w:rsidRPr="006A1E48">
        <w:rPr>
          <w:rFonts w:ascii="Times New Roman" w:eastAsia="標楷體" w:hAnsi="Times New Roman" w:hint="eastAsia"/>
          <w:sz w:val="28"/>
          <w:szCs w:val="28"/>
        </w:rPr>
        <w:t>2</w:t>
      </w:r>
      <w:r w:rsidRPr="006A1E48">
        <w:rPr>
          <w:rFonts w:ascii="Times New Roman" w:eastAsia="標楷體" w:hAnsi="Times New Roman" w:hint="eastAsia"/>
          <w:sz w:val="28"/>
          <w:szCs w:val="28"/>
        </w:rPr>
        <w:t>）修正為：「因臺灣本土條件、運轉模式設計差異等因素之影響，能源效率除（</w:t>
      </w:r>
      <w:r w:rsidRPr="006A1E48">
        <w:rPr>
          <w:rFonts w:ascii="Times New Roman" w:eastAsia="標楷體" w:hAnsi="Times New Roman" w:hint="eastAsia"/>
          <w:sz w:val="28"/>
          <w:szCs w:val="28"/>
        </w:rPr>
        <w:t>1</w:t>
      </w:r>
      <w:r w:rsidRPr="006A1E48">
        <w:rPr>
          <w:rFonts w:ascii="Times New Roman" w:eastAsia="標楷體" w:hAnsi="Times New Roman" w:hint="eastAsia"/>
          <w:sz w:val="28"/>
          <w:szCs w:val="28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外，下限值可酌予再降低。</w:t>
      </w:r>
      <w:r w:rsidRPr="006A1E48">
        <w:rPr>
          <w:rFonts w:ascii="Times New Roman" w:eastAsia="標楷體" w:hAnsi="Times New Roman" w:hint="eastAsia"/>
          <w:sz w:val="28"/>
          <w:szCs w:val="28"/>
        </w:rPr>
        <w:t>」；說明（</w:t>
      </w:r>
      <w:r w:rsidRPr="006A1E48">
        <w:rPr>
          <w:rFonts w:ascii="Times New Roman" w:eastAsia="標楷體" w:hAnsi="Times New Roman"/>
          <w:sz w:val="28"/>
          <w:szCs w:val="28"/>
        </w:rPr>
        <w:t>3</w:t>
      </w:r>
      <w:r w:rsidRPr="006A1E48">
        <w:rPr>
          <w:rFonts w:ascii="Times New Roman" w:eastAsia="標楷體" w:hAnsi="Times New Roman" w:hint="eastAsia"/>
          <w:sz w:val="28"/>
          <w:szCs w:val="28"/>
        </w:rPr>
        <w:t>）不予適用。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ind w:left="1274" w:hangingChars="455" w:hanging="1274"/>
        <w:rPr>
          <w:rFonts w:ascii="Times New Roman" w:eastAsia="標楷體" w:hAnsi="標楷體"/>
          <w:b/>
          <w:kern w:val="0"/>
          <w:sz w:val="32"/>
          <w:szCs w:val="32"/>
          <w:highlight w:val="yellow"/>
        </w:rPr>
      </w:pPr>
      <w:r w:rsidRPr="006A1E48">
        <w:rPr>
          <w:rFonts w:ascii="Times New Roman" w:eastAsia="標楷體" w:hAnsi="Times New Roman"/>
          <w:sz w:val="28"/>
          <w:szCs w:val="28"/>
        </w:rPr>
        <w:br w:type="page"/>
      </w:r>
      <w:r w:rsidRPr="006A1E48">
        <w:rPr>
          <w:rFonts w:ascii="Times New Roman" w:eastAsia="標楷體" w:hAnsi="標楷體"/>
          <w:b/>
          <w:kern w:val="0"/>
          <w:sz w:val="32"/>
          <w:szCs w:val="32"/>
        </w:rPr>
        <w:lastRenderedPageBreak/>
        <w:t>附表</w:t>
      </w:r>
      <w:r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三</w:t>
      </w:r>
      <w:r w:rsidRPr="006A1E48">
        <w:rPr>
          <w:rFonts w:ascii="Times New Roman" w:eastAsia="標楷體" w:hAnsi="標楷體"/>
          <w:b/>
          <w:kern w:val="0"/>
          <w:sz w:val="32"/>
          <w:szCs w:val="32"/>
        </w:rPr>
        <w:t>、石油煉製</w:t>
      </w:r>
      <w:r w:rsidR="004D79EC" w:rsidRPr="006A1E48">
        <w:rPr>
          <w:rFonts w:ascii="Times New Roman" w:eastAsia="標楷體" w:hAnsi="標楷體"/>
          <w:b/>
          <w:kern w:val="0"/>
          <w:sz w:val="32"/>
          <w:szCs w:val="32"/>
        </w:rPr>
        <w:t>類</w:t>
      </w:r>
      <w:r w:rsidRPr="006A1E48">
        <w:rPr>
          <w:rFonts w:ascii="Times New Roman" w:eastAsia="標楷體" w:hAnsi="標楷體"/>
          <w:b/>
          <w:kern w:val="0"/>
          <w:sz w:val="32"/>
          <w:szCs w:val="32"/>
        </w:rPr>
        <w:t>或能源使用類</w:t>
      </w:r>
      <w:r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製程技術項目應符合之最佳可行技術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一、石油煉製</w:t>
      </w:r>
      <w:r w:rsidRPr="006A1E48">
        <w:rPr>
          <w:rFonts w:ascii="Times New Roman" w:eastAsia="標楷體" w:hAnsi="Times New Roman"/>
          <w:sz w:val="28"/>
          <w:szCs w:val="28"/>
        </w:rPr>
        <w:t>類：</w:t>
      </w:r>
    </w:p>
    <w:p w:rsidR="00276025" w:rsidRPr="006A1E48" w:rsidRDefault="00276025" w:rsidP="00276025">
      <w:pPr>
        <w:widowControl/>
        <w:adjustRightInd w:val="0"/>
        <w:snapToGrid w:val="0"/>
        <w:spacing w:afterLines="50" w:after="180" w:line="46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應符合下列</w:t>
      </w:r>
      <w:r w:rsidRPr="006A1E48">
        <w:rPr>
          <w:rFonts w:ascii="Times New Roman" w:eastAsia="標楷體" w:hAnsi="Times New Roman"/>
          <w:sz w:val="28"/>
          <w:szCs w:val="28"/>
        </w:rPr>
        <w:t>歐盟「</w:t>
      </w:r>
      <w:r w:rsidRPr="006A1E48">
        <w:rPr>
          <w:rFonts w:ascii="Times New Roman" w:eastAsia="標楷體" w:hAnsi="標楷體"/>
          <w:kern w:val="0"/>
          <w:sz w:val="28"/>
          <w:szCs w:val="28"/>
        </w:rPr>
        <w:t>石油與天然氣煉製業</w:t>
      </w:r>
      <w:r w:rsidRPr="006A1E48">
        <w:rPr>
          <w:rFonts w:ascii="Times New Roman" w:eastAsia="標楷體" w:hAnsi="Times New Roman"/>
          <w:sz w:val="28"/>
          <w:szCs w:val="28"/>
        </w:rPr>
        <w:t>最佳可行技術參考文件</w:t>
      </w:r>
      <w:r w:rsidRPr="006A1E48">
        <w:rPr>
          <w:rFonts w:ascii="Times New Roman" w:eastAsia="標楷體" w:hAnsi="Times New Roman" w:hint="eastAsia"/>
          <w:sz w:val="28"/>
          <w:szCs w:val="28"/>
        </w:rPr>
        <w:t>（</w:t>
      </w:r>
      <w:r w:rsidRPr="006A1E48">
        <w:rPr>
          <w:rFonts w:ascii="Times New Roman" w:eastAsia="標楷體" w:hAnsi="Times New Roman"/>
          <w:sz w:val="28"/>
          <w:szCs w:val="28"/>
        </w:rPr>
        <w:t>Reference Document on Best Available Techniques for</w:t>
      </w:r>
      <w:r w:rsidRPr="006A1E48">
        <w:rPr>
          <w:rFonts w:ascii="Times New Roman" w:eastAsia="標楷體" w:hAnsi="Times New Roman" w:hint="eastAsia"/>
          <w:sz w:val="28"/>
          <w:szCs w:val="28"/>
        </w:rPr>
        <w:t xml:space="preserve"> </w:t>
      </w:r>
      <w:hyperlink r:id="rId17" w:history="1">
        <w:r w:rsidRPr="006A1E48">
          <w:rPr>
            <w:rFonts w:ascii="Times New Roman" w:eastAsia="標楷體" w:hAnsi="Times New Roman"/>
            <w:sz w:val="28"/>
            <w:szCs w:val="28"/>
          </w:rPr>
          <w:t>Refining of Mineral Oil and Gas</w:t>
        </w:r>
      </w:hyperlink>
      <w:r w:rsidRPr="006A1E48">
        <w:rPr>
          <w:rFonts w:ascii="Times New Roman" w:eastAsia="標楷體" w:hAnsi="Times New Roman" w:hint="eastAsia"/>
          <w:sz w:val="28"/>
          <w:szCs w:val="28"/>
        </w:rPr>
        <w:t>）</w:t>
      </w:r>
      <w:r w:rsidRPr="006A1E48">
        <w:rPr>
          <w:rFonts w:ascii="Times New Roman" w:eastAsia="標楷體" w:hAnsi="Times New Roman"/>
          <w:sz w:val="28"/>
          <w:szCs w:val="28"/>
        </w:rPr>
        <w:t>」</w:t>
      </w:r>
      <w:r w:rsidRPr="006A1E48">
        <w:rPr>
          <w:rFonts w:ascii="Times New Roman" w:eastAsia="標楷體" w:hAnsi="Times New Roman" w:hint="eastAsia"/>
          <w:sz w:val="28"/>
          <w:szCs w:val="28"/>
        </w:rPr>
        <w:t>適用版本</w:t>
      </w:r>
      <w:r w:rsidRPr="006A1E48">
        <w:rPr>
          <w:rFonts w:ascii="Times New Roman" w:eastAsia="標楷體" w:hAnsi="Times New Roman"/>
          <w:sz w:val="28"/>
          <w:szCs w:val="28"/>
        </w:rPr>
        <w:t>所列示</w:t>
      </w:r>
      <w:r w:rsidRPr="006A1E48">
        <w:rPr>
          <w:rFonts w:ascii="Times New Roman" w:eastAsia="標楷體" w:hAnsi="Times New Roman" w:hint="eastAsia"/>
          <w:sz w:val="28"/>
          <w:szCs w:val="28"/>
        </w:rPr>
        <w:t>「新設廠（</w:t>
      </w:r>
      <w:r w:rsidRPr="006A1E48">
        <w:rPr>
          <w:rFonts w:ascii="Times New Roman" w:eastAsia="標楷體" w:hAnsi="Times New Roman" w:hint="eastAsia"/>
          <w:sz w:val="28"/>
          <w:szCs w:val="28"/>
        </w:rPr>
        <w:t>New plants</w:t>
      </w:r>
      <w:r w:rsidRPr="006A1E48">
        <w:rPr>
          <w:rFonts w:ascii="Times New Roman" w:eastAsia="標楷體" w:hAnsi="Times New Roman" w:hint="eastAsia"/>
          <w:sz w:val="28"/>
          <w:szCs w:val="28"/>
        </w:rPr>
        <w:t>）」或「新設備（</w:t>
      </w:r>
      <w:r w:rsidRPr="006A1E48">
        <w:rPr>
          <w:rFonts w:ascii="Times New Roman" w:eastAsia="標楷體" w:hAnsi="Times New Roman" w:hint="eastAsia"/>
          <w:sz w:val="28"/>
          <w:szCs w:val="28"/>
        </w:rPr>
        <w:t>New installations</w:t>
      </w:r>
      <w:r w:rsidRPr="006A1E48">
        <w:rPr>
          <w:rFonts w:ascii="Times New Roman" w:eastAsia="標楷體" w:hAnsi="Times New Roman" w:hint="eastAsia"/>
          <w:sz w:val="28"/>
          <w:szCs w:val="28"/>
        </w:rPr>
        <w:t>）」能源效率相關之製程技術項目之內容</w:t>
      </w:r>
      <w:r w:rsidRPr="006A1E48">
        <w:rPr>
          <w:rFonts w:ascii="Times New Roman" w:eastAsia="標楷體" w:hAnsi="Times New Roman"/>
          <w:sz w:val="28"/>
          <w:szCs w:val="28"/>
        </w:rPr>
        <w:t>及效率值</w:t>
      </w:r>
      <w:r w:rsidRPr="006A1E48">
        <w:rPr>
          <w:rFonts w:ascii="Times New Roman" w:eastAsia="標楷體" w:hAnsi="Times New Roman" w:hint="eastAsia"/>
          <w:sz w:val="28"/>
          <w:szCs w:val="28"/>
        </w:rPr>
        <w:t>。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9"/>
        <w:gridCol w:w="2881"/>
      </w:tblGrid>
      <w:tr w:rsidR="006A1E48" w:rsidRPr="006A1E48" w:rsidTr="00380116">
        <w:trPr>
          <w:trHeight w:val="527"/>
          <w:tblHeader/>
          <w:jc w:val="center"/>
        </w:trPr>
        <w:tc>
          <w:tcPr>
            <w:tcW w:w="6199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行業別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「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8"/>
              </w:rPr>
              <w:t>最佳可行技術參考文件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」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tabs>
                <w:tab w:val="center" w:pos="58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8"/>
              </w:rPr>
              <w:t>適用版本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6199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8"/>
              </w:rPr>
              <w:t>石油與天然氣煉製業</w:t>
            </w:r>
          </w:p>
          <w:p w:rsidR="00276025" w:rsidRPr="006A1E48" w:rsidRDefault="00A33046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hyperlink r:id="rId18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8"/>
                </w:rPr>
                <w:t>Refining of Mineral Oil and Gas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hyperlink r:id="rId19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8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（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2015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）</w:t>
            </w:r>
            <w:r w:rsidR="00276025" w:rsidRPr="006A1E48">
              <w:rPr>
                <w:rFonts w:ascii="Times New Roman" w:eastAsia="標楷體" w:hAnsi="Times New Roman" w:hint="eastAsia"/>
                <w:kern w:val="0"/>
                <w:sz w:val="28"/>
                <w:szCs w:val="28"/>
                <w:vertAlign w:val="superscript"/>
              </w:rPr>
              <w:t>註</w:t>
            </w:r>
          </w:p>
        </w:tc>
      </w:tr>
    </w:tbl>
    <w:p w:rsidR="00276025" w:rsidRPr="006A1E48" w:rsidRDefault="00276025" w:rsidP="00276025">
      <w:pPr>
        <w:widowControl/>
        <w:adjustRightInd w:val="0"/>
        <w:snapToGrid w:val="0"/>
        <w:spacing w:afterLines="50" w:after="180"/>
        <w:ind w:left="425" w:hangingChars="177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A1E48">
        <w:rPr>
          <w:rFonts w:ascii="Times New Roman" w:eastAsia="標楷體" w:hAnsi="標楷體" w:hint="eastAsia"/>
          <w:kern w:val="0"/>
          <w:szCs w:val="24"/>
        </w:rPr>
        <w:t>註：</w:t>
      </w:r>
      <w:r w:rsidRPr="006A1E48">
        <w:rPr>
          <w:rFonts w:ascii="Times New Roman" w:eastAsia="標楷體" w:hAnsi="標楷體" w:hint="eastAsia"/>
          <w:kern w:val="0"/>
          <w:szCs w:val="24"/>
        </w:rPr>
        <w:t>BREF</w:t>
      </w:r>
      <w:r w:rsidRPr="006A1E48">
        <w:rPr>
          <w:rFonts w:ascii="Times New Roman" w:eastAsia="標楷體" w:hAnsi="標楷體" w:hint="eastAsia"/>
          <w:kern w:val="0"/>
          <w:szCs w:val="24"/>
        </w:rPr>
        <w:t>係指歐盟「工業排放指令（</w:t>
      </w:r>
      <w:r w:rsidRPr="006A1E48">
        <w:rPr>
          <w:rFonts w:ascii="Times New Roman" w:eastAsia="標楷體" w:hAnsi="標楷體" w:hint="eastAsia"/>
          <w:kern w:val="0"/>
          <w:szCs w:val="24"/>
        </w:rPr>
        <w:t>Directive 2010/75 on industrial emissions</w:t>
      </w:r>
      <w:r w:rsidRPr="006A1E48">
        <w:rPr>
          <w:rFonts w:ascii="Times New Roman" w:eastAsia="標楷體" w:hAnsi="標楷體" w:hint="eastAsia"/>
          <w:kern w:val="0"/>
          <w:szCs w:val="24"/>
        </w:rPr>
        <w:t>；簡稱</w:t>
      </w:r>
      <w:r w:rsidRPr="006A1E48">
        <w:rPr>
          <w:rFonts w:ascii="Times New Roman" w:eastAsia="標楷體" w:hAnsi="標楷體" w:hint="eastAsia"/>
          <w:kern w:val="0"/>
          <w:szCs w:val="24"/>
        </w:rPr>
        <w:t>IED</w:t>
      </w:r>
      <w:r w:rsidRPr="006A1E48">
        <w:rPr>
          <w:rFonts w:ascii="Times New Roman" w:eastAsia="標楷體" w:hAnsi="標楷體" w:hint="eastAsia"/>
          <w:kern w:val="0"/>
          <w:szCs w:val="24"/>
        </w:rPr>
        <w:t>）」最佳可行技術參考文件系列（</w:t>
      </w:r>
      <w:r w:rsidRPr="006A1E48">
        <w:rPr>
          <w:rFonts w:ascii="Times New Roman" w:eastAsia="標楷體" w:hAnsi="標楷體" w:hint="eastAsia"/>
          <w:kern w:val="0"/>
          <w:szCs w:val="24"/>
        </w:rPr>
        <w:t>Best Available Techniques Reference Documents</w:t>
      </w:r>
      <w:r w:rsidRPr="006A1E48">
        <w:rPr>
          <w:rFonts w:ascii="Times New Roman" w:eastAsia="標楷體" w:hAnsi="標楷體" w:hint="eastAsia"/>
          <w:kern w:val="0"/>
          <w:szCs w:val="24"/>
        </w:rPr>
        <w:t>）</w:t>
      </w:r>
      <w:r w:rsidRPr="006A1E48">
        <w:rPr>
          <w:rFonts w:ascii="Times New Roman" w:eastAsia="標楷體" w:hAnsi="Times New Roman" w:hint="eastAsia"/>
          <w:szCs w:val="28"/>
        </w:rPr>
        <w:t>；</w:t>
      </w:r>
      <w:r w:rsidRPr="006A1E48">
        <w:rPr>
          <w:rFonts w:ascii="Times New Roman" w:eastAsia="標楷體" w:hAnsi="Times New Roman" w:hint="eastAsia"/>
          <w:kern w:val="0"/>
          <w:szCs w:val="28"/>
        </w:rPr>
        <w:t>BREF</w:t>
      </w:r>
      <w:r w:rsidRPr="006A1E48">
        <w:rPr>
          <w:rFonts w:ascii="Times New Roman" w:eastAsia="標楷體" w:hAnsi="Times New Roman" w:hint="eastAsia"/>
          <w:kern w:val="0"/>
          <w:szCs w:val="28"/>
        </w:rPr>
        <w:t>（</w:t>
      </w:r>
      <w:r w:rsidRPr="006A1E48">
        <w:rPr>
          <w:rFonts w:ascii="Times New Roman" w:eastAsia="標楷體" w:hAnsi="Times New Roman" w:hint="eastAsia"/>
          <w:kern w:val="0"/>
          <w:szCs w:val="28"/>
        </w:rPr>
        <w:t>2015</w:t>
      </w:r>
      <w:r w:rsidRPr="006A1E48">
        <w:rPr>
          <w:rFonts w:ascii="Times New Roman" w:eastAsia="標楷體" w:hAnsi="Times New Roman" w:hint="eastAsia"/>
          <w:kern w:val="0"/>
          <w:szCs w:val="28"/>
        </w:rPr>
        <w:t>）係指</w:t>
      </w:r>
      <w:r w:rsidRPr="006A1E48">
        <w:rPr>
          <w:rFonts w:ascii="Times New Roman" w:eastAsia="標楷體" w:hAnsi="Times New Roman" w:hint="eastAsia"/>
          <w:kern w:val="0"/>
          <w:szCs w:val="28"/>
        </w:rPr>
        <w:t>2015</w:t>
      </w:r>
      <w:r w:rsidRPr="006A1E48">
        <w:rPr>
          <w:rFonts w:ascii="Times New Roman" w:eastAsia="標楷體" w:hAnsi="Times New Roman" w:hint="eastAsia"/>
          <w:kern w:val="0"/>
          <w:szCs w:val="28"/>
        </w:rPr>
        <w:t>年版本</w:t>
      </w:r>
      <w:r w:rsidRPr="006A1E48">
        <w:rPr>
          <w:rFonts w:ascii="Times New Roman" w:eastAsia="標楷體" w:hAnsi="Times New Roman" w:hint="eastAsia"/>
          <w:szCs w:val="28"/>
        </w:rPr>
        <w:t>。</w:t>
      </w:r>
    </w:p>
    <w:p w:rsidR="00276025" w:rsidRPr="006A1E48" w:rsidRDefault="00276025" w:rsidP="00276025">
      <w:pPr>
        <w:widowControl/>
        <w:adjustRightInd w:val="0"/>
        <w:snapToGrid w:val="0"/>
        <w:spacing w:beforeLines="50" w:before="180" w:line="460" w:lineRule="exact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二、能源使用類：</w:t>
      </w:r>
    </w:p>
    <w:p w:rsidR="00276025" w:rsidRPr="006A1E48" w:rsidRDefault="00276025" w:rsidP="00276025">
      <w:pPr>
        <w:widowControl/>
        <w:adjustRightInd w:val="0"/>
        <w:snapToGrid w:val="0"/>
        <w:spacing w:afterLines="50" w:after="180" w:line="460" w:lineRule="exact"/>
        <w:ind w:firstLineChars="200" w:firstLine="560"/>
        <w:jc w:val="both"/>
        <w:rPr>
          <w:rFonts w:ascii="Times New Roman" w:eastAsia="標楷體" w:hAnsi="標楷體"/>
          <w:kern w:val="0"/>
          <w:sz w:val="28"/>
          <w:szCs w:val="24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應符合下列歐盟相同行業「最佳可行技術參考文件」適用版本</w:t>
      </w:r>
      <w:r w:rsidRPr="006A1E48">
        <w:rPr>
          <w:rFonts w:ascii="Times New Roman" w:eastAsia="標楷體" w:hAnsi="Times New Roman"/>
          <w:sz w:val="28"/>
          <w:szCs w:val="28"/>
        </w:rPr>
        <w:t>所列示</w:t>
      </w:r>
      <w:r w:rsidRPr="006A1E48">
        <w:rPr>
          <w:rFonts w:ascii="Times New Roman" w:eastAsia="標楷體" w:hAnsi="Times New Roman" w:hint="eastAsia"/>
          <w:sz w:val="28"/>
          <w:szCs w:val="28"/>
        </w:rPr>
        <w:t>「新設廠（</w:t>
      </w:r>
      <w:r w:rsidRPr="006A1E48">
        <w:rPr>
          <w:rFonts w:ascii="Times New Roman" w:eastAsia="標楷體" w:hAnsi="Times New Roman" w:hint="eastAsia"/>
          <w:sz w:val="28"/>
          <w:szCs w:val="28"/>
        </w:rPr>
        <w:t>New plants</w:t>
      </w:r>
      <w:r w:rsidRPr="006A1E48">
        <w:rPr>
          <w:rFonts w:ascii="Times New Roman" w:eastAsia="標楷體" w:hAnsi="Times New Roman" w:hint="eastAsia"/>
          <w:sz w:val="28"/>
          <w:szCs w:val="28"/>
        </w:rPr>
        <w:t>）」或「新設備（</w:t>
      </w:r>
      <w:r w:rsidRPr="006A1E48">
        <w:rPr>
          <w:rFonts w:ascii="Times New Roman" w:eastAsia="標楷體" w:hAnsi="Times New Roman" w:hint="eastAsia"/>
          <w:sz w:val="28"/>
          <w:szCs w:val="28"/>
        </w:rPr>
        <w:t>New installations</w:t>
      </w:r>
      <w:r w:rsidRPr="006A1E48">
        <w:rPr>
          <w:rFonts w:ascii="Times New Roman" w:eastAsia="標楷體" w:hAnsi="Times New Roman" w:hint="eastAsia"/>
          <w:sz w:val="28"/>
          <w:szCs w:val="28"/>
        </w:rPr>
        <w:t>）」能源效率相關之製程技術項目之內容</w:t>
      </w:r>
      <w:r w:rsidRPr="006A1E48">
        <w:rPr>
          <w:rFonts w:ascii="Times New Roman" w:eastAsia="標楷體" w:hAnsi="Times New Roman"/>
          <w:sz w:val="28"/>
          <w:szCs w:val="28"/>
        </w:rPr>
        <w:t>及效率值</w:t>
      </w:r>
      <w:r w:rsidRPr="006A1E48">
        <w:rPr>
          <w:rFonts w:ascii="Times New Roman" w:eastAsia="標楷體" w:hAnsi="Times New Roman" w:hint="eastAsia"/>
          <w:sz w:val="28"/>
          <w:szCs w:val="28"/>
        </w:rPr>
        <w:t>。惟半導體業或面板產業者應符合附表四之規定。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4394"/>
        <w:gridCol w:w="2784"/>
      </w:tblGrid>
      <w:tr w:rsidR="006A1E48" w:rsidRPr="006A1E48" w:rsidTr="00380116">
        <w:trPr>
          <w:trHeight w:val="527"/>
          <w:tblHeader/>
          <w:jc w:val="center"/>
        </w:trPr>
        <w:tc>
          <w:tcPr>
            <w:tcW w:w="6103" w:type="dxa"/>
            <w:gridSpan w:val="2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行業別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  <w:vertAlign w:val="superscript"/>
              </w:rPr>
              <w:t>註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  <w:vertAlign w:val="superscript"/>
              </w:rPr>
              <w:t>1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「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最佳可行技術參考文件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tabs>
                <w:tab w:val="center" w:pos="58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適用版本</w:t>
            </w:r>
          </w:p>
        </w:tc>
      </w:tr>
      <w:tr w:rsidR="006A1E48" w:rsidRPr="006A1E48" w:rsidTr="00380116">
        <w:trPr>
          <w:trHeight w:val="70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（一）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陶瓷製造業</w:t>
            </w:r>
          </w:p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/>
                <w:kern w:val="0"/>
                <w:sz w:val="28"/>
                <w:szCs w:val="24"/>
              </w:rPr>
              <w:t>Ceramic Manufacturing Industry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D21F2">
            <w:pPr>
              <w:widowControl/>
              <w:snapToGrid w:val="0"/>
              <w:ind w:firstLineChars="62" w:firstLine="149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20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2007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  <w:r w:rsidR="00276025"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  <w:vertAlign w:val="superscript"/>
              </w:rPr>
              <w:t>註</w:t>
            </w:r>
            <w:r w:rsidR="00276025"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  <w:vertAlign w:val="superscript"/>
              </w:rPr>
              <w:t>2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（二）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鐵類金屬加工業</w:t>
            </w:r>
          </w:p>
          <w:p w:rsidR="00276025" w:rsidRPr="006A1E48" w:rsidRDefault="00A33046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21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Ferrous Metals Processing Industry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22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2001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70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（三）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食品、飲料與牛奶業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23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Food, Drink and Milk Industries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24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2006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70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（四）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鋼鐵產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業</w:t>
            </w:r>
          </w:p>
          <w:p w:rsidR="00276025" w:rsidRPr="006A1E48" w:rsidRDefault="00A33046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25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Iron and Steel Production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26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2013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70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（五）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大宗無機化工業（氨、酸、肥料</w:t>
            </w:r>
            <w:r w:rsidRPr="006A1E48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  <w:p w:rsidR="00276025" w:rsidRPr="006A1E48" w:rsidRDefault="00A33046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27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Large Volume Inorganic Chemicals – Ammonia, Acids and Fertilisers Industries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28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2007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70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lastRenderedPageBreak/>
              <w:t>（六）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大宗無機化工業（固體與其他）</w:t>
            </w:r>
          </w:p>
          <w:p w:rsidR="00276025" w:rsidRPr="006A1E48" w:rsidRDefault="00A33046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29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Large Volume Inorganic Chemicals – Solids and Others Industry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30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2007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274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（七）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大宗有機化工業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31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Large Volume Organic Chemical Industry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32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2003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716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（八）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玻璃製造業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33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Manufacture of Glass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34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2013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有機精密化學製造業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35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Manufacture of Organic Fine Chemicals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36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2006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有色金屬工業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37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Non-ferrous Metals Industries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38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2001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（十一）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水泥、石灰與氧化鎂生產業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39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Production of Cement, Lime and Magnesium Oxide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40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2013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70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（十二）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氯鹼生產業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41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Production of Chlor-alkali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BREF</w:t>
            </w:r>
            <w:r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201</w:t>
            </w:r>
            <w:r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4</w:t>
            </w:r>
            <w:r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70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（十三）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聚合材料生產業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42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Production of Polymers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43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2007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（十四）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紙漿與造紙業</w:t>
            </w:r>
          </w:p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/>
                <w:sz w:val="28"/>
                <w:szCs w:val="24"/>
              </w:rPr>
              <w:t>Production of Pulp, Paper and Board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44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2015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（十五）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特用無機化學品生產業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45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Production of Speciality Inorganic Chemicals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46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2007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（十六）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屠宰與動物加工品業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47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Slaughterhouses and Animals By-products Industries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48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2005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（十七）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冶煉與鑄造業</w:t>
            </w:r>
          </w:p>
          <w:p w:rsidR="00276025" w:rsidRPr="006A1E48" w:rsidRDefault="00A33046" w:rsidP="0038011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49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Smitheries and Foundries Industry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50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2005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（十八）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金屬與塑料之表面處理業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51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Surface Treatment of Metals and Plastics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52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2006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276025" w:rsidRPr="006A1E48" w:rsidTr="00BF5AC4">
        <w:trPr>
          <w:trHeight w:val="1167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（十九）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以有機溶劑進行表面處理業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53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Surface Treatment Using Organic Solvents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54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2007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</w:tbl>
    <w:p w:rsidR="00276025" w:rsidRPr="006A1E48" w:rsidRDefault="00276025" w:rsidP="00BF5AC4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/>
          <w:kern w:val="0"/>
          <w:szCs w:val="24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4394"/>
        <w:gridCol w:w="2784"/>
      </w:tblGrid>
      <w:tr w:rsidR="006A1E48" w:rsidRPr="006A1E48" w:rsidTr="00380116">
        <w:trPr>
          <w:trHeight w:val="345"/>
          <w:jc w:val="center"/>
        </w:trPr>
        <w:tc>
          <w:tcPr>
            <w:tcW w:w="6103" w:type="dxa"/>
            <w:gridSpan w:val="2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lastRenderedPageBreak/>
              <w:t>行業別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  <w:vertAlign w:val="superscript"/>
              </w:rPr>
              <w:t>註</w:t>
            </w: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  <w:vertAlign w:val="superscript"/>
              </w:rPr>
              <w:t>1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「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最佳可行技術參考文件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tabs>
                <w:tab w:val="center" w:pos="58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適用版本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（二十）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生皮鞣製業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55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Tanning of Hides and Skins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56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2013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  <w:tr w:rsidR="006A1E48" w:rsidRPr="006A1E48" w:rsidTr="00380116">
        <w:trPr>
          <w:trHeight w:val="345"/>
          <w:jc w:val="center"/>
        </w:trPr>
        <w:tc>
          <w:tcPr>
            <w:tcW w:w="1709" w:type="dxa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（二十一）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6025" w:rsidRPr="006A1E48" w:rsidRDefault="00276025" w:rsidP="00380116">
            <w:pPr>
              <w:widowControl/>
              <w:snapToGrid w:val="0"/>
              <w:ind w:rightChars="177" w:right="425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紡織業</w:t>
            </w:r>
          </w:p>
          <w:p w:rsidR="00276025" w:rsidRPr="006A1E48" w:rsidRDefault="00A33046" w:rsidP="00380116">
            <w:pPr>
              <w:widowControl/>
              <w:snapToGrid w:val="0"/>
              <w:ind w:rightChars="177" w:right="425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hyperlink r:id="rId57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Textiles Industry</w:t>
              </w:r>
            </w:hyperlink>
          </w:p>
        </w:tc>
        <w:tc>
          <w:tcPr>
            <w:tcW w:w="2784" w:type="dxa"/>
            <w:shd w:val="clear" w:color="auto" w:fill="auto"/>
            <w:vAlign w:val="center"/>
          </w:tcPr>
          <w:p w:rsidR="00276025" w:rsidRPr="006A1E48" w:rsidRDefault="00A33046" w:rsidP="00380116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hyperlink r:id="rId58" w:tgtFrame="_blank" w:history="1">
              <w:r w:rsidR="00276025" w:rsidRPr="006A1E48">
                <w:rPr>
                  <w:rFonts w:ascii="Times New Roman" w:eastAsia="標楷體" w:hAnsi="Times New Roman"/>
                  <w:bCs/>
                  <w:kern w:val="0"/>
                  <w:sz w:val="28"/>
                  <w:szCs w:val="24"/>
                </w:rPr>
                <w:t>BREF</w:t>
              </w:r>
            </w:hyperlink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（</w:t>
            </w:r>
            <w:r w:rsidR="00276025" w:rsidRPr="006A1E48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2003</w:t>
            </w:r>
            <w:r w:rsidR="00276025" w:rsidRPr="006A1E48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</w:rPr>
              <w:t>）</w:t>
            </w:r>
          </w:p>
        </w:tc>
      </w:tr>
    </w:tbl>
    <w:p w:rsidR="00276025" w:rsidRPr="006A1E48" w:rsidRDefault="00276025" w:rsidP="00276025">
      <w:pPr>
        <w:widowControl/>
        <w:adjustRightInd w:val="0"/>
        <w:snapToGrid w:val="0"/>
        <w:ind w:left="600" w:hangingChars="250" w:hanging="600"/>
        <w:jc w:val="both"/>
        <w:rPr>
          <w:rFonts w:ascii="Times New Roman" w:eastAsia="標楷體" w:hAnsi="Times New Roman"/>
          <w:kern w:val="0"/>
          <w:szCs w:val="24"/>
        </w:rPr>
      </w:pPr>
      <w:r w:rsidRPr="006A1E48">
        <w:rPr>
          <w:rFonts w:ascii="Times New Roman" w:eastAsia="標楷體" w:hAnsi="Times New Roman"/>
          <w:kern w:val="0"/>
          <w:szCs w:val="24"/>
        </w:rPr>
        <w:t>註</w:t>
      </w:r>
      <w:r w:rsidRPr="006A1E48">
        <w:rPr>
          <w:rFonts w:ascii="Times New Roman" w:eastAsia="標楷體" w:hAnsi="Times New Roman" w:hint="eastAsia"/>
          <w:kern w:val="0"/>
          <w:szCs w:val="24"/>
        </w:rPr>
        <w:t xml:space="preserve"> 1</w:t>
      </w:r>
      <w:r w:rsidRPr="006A1E48">
        <w:rPr>
          <w:rFonts w:ascii="Times New Roman" w:eastAsia="標楷體" w:hAnsi="Times New Roman"/>
          <w:kern w:val="0"/>
          <w:szCs w:val="24"/>
        </w:rPr>
        <w:t>：此處行業，係指歐盟「工業排放指令（</w:t>
      </w:r>
      <w:r w:rsidRPr="006A1E48">
        <w:rPr>
          <w:rFonts w:ascii="Times New Roman" w:eastAsia="標楷體" w:hAnsi="Times New Roman"/>
          <w:kern w:val="0"/>
          <w:szCs w:val="24"/>
        </w:rPr>
        <w:t>Directive 2010/75 on industrial emissions</w:t>
      </w:r>
      <w:r w:rsidRPr="006A1E48">
        <w:rPr>
          <w:rFonts w:ascii="Times New Roman" w:eastAsia="標楷體" w:hAnsi="Times New Roman"/>
          <w:kern w:val="0"/>
          <w:szCs w:val="24"/>
        </w:rPr>
        <w:t>；簡稱</w:t>
      </w:r>
      <w:r w:rsidRPr="006A1E48">
        <w:rPr>
          <w:rFonts w:ascii="Times New Roman" w:eastAsia="標楷體" w:hAnsi="Times New Roman"/>
          <w:kern w:val="0"/>
          <w:szCs w:val="24"/>
        </w:rPr>
        <w:t>IED</w:t>
      </w:r>
      <w:r w:rsidRPr="006A1E48">
        <w:rPr>
          <w:rFonts w:ascii="Times New Roman" w:eastAsia="標楷體" w:hAnsi="Times New Roman"/>
          <w:kern w:val="0"/>
          <w:szCs w:val="24"/>
        </w:rPr>
        <w:t>）」下所發布最佳可行技術參考文件系列（</w:t>
      </w:r>
      <w:r w:rsidRPr="006A1E48">
        <w:rPr>
          <w:rFonts w:ascii="Times New Roman" w:eastAsia="標楷體" w:hAnsi="Times New Roman"/>
          <w:kern w:val="0"/>
          <w:szCs w:val="24"/>
        </w:rPr>
        <w:t>Best Available Techniques Reference Documents</w:t>
      </w:r>
      <w:r w:rsidRPr="006A1E48">
        <w:rPr>
          <w:rFonts w:ascii="Times New Roman" w:eastAsia="標楷體" w:hAnsi="Times New Roman"/>
          <w:kern w:val="0"/>
          <w:szCs w:val="24"/>
        </w:rPr>
        <w:t>）之行業。</w:t>
      </w:r>
    </w:p>
    <w:p w:rsidR="00276025" w:rsidRPr="006A1E48" w:rsidRDefault="00276025" w:rsidP="00276025">
      <w:pPr>
        <w:widowControl/>
        <w:adjustRightInd w:val="0"/>
        <w:snapToGrid w:val="0"/>
        <w:ind w:left="600" w:hangingChars="250" w:hanging="600"/>
        <w:jc w:val="both"/>
        <w:rPr>
          <w:rFonts w:ascii="Times New Roman" w:eastAsia="標楷體" w:hAnsi="Times New Roman"/>
          <w:kern w:val="0"/>
          <w:szCs w:val="24"/>
        </w:rPr>
      </w:pPr>
      <w:r w:rsidRPr="006A1E48">
        <w:rPr>
          <w:rFonts w:ascii="Times New Roman" w:eastAsia="標楷體" w:hAnsi="Times New Roman"/>
          <w:kern w:val="0"/>
          <w:szCs w:val="24"/>
        </w:rPr>
        <w:t>註</w:t>
      </w:r>
      <w:r w:rsidRPr="006A1E48">
        <w:rPr>
          <w:rFonts w:ascii="Times New Roman" w:eastAsia="標楷體" w:hAnsi="Times New Roman"/>
          <w:kern w:val="0"/>
          <w:szCs w:val="24"/>
        </w:rPr>
        <w:t>2</w:t>
      </w:r>
      <w:r w:rsidRPr="006A1E48">
        <w:rPr>
          <w:rFonts w:ascii="Times New Roman" w:eastAsia="標楷體" w:hAnsi="Times New Roman"/>
          <w:kern w:val="0"/>
          <w:szCs w:val="24"/>
        </w:rPr>
        <w:t>：</w:t>
      </w:r>
      <w:r w:rsidRPr="006A1E48">
        <w:rPr>
          <w:rFonts w:ascii="Times New Roman" w:eastAsia="標楷體" w:hAnsi="Times New Roman"/>
          <w:kern w:val="0"/>
          <w:szCs w:val="24"/>
        </w:rPr>
        <w:t>BREF</w:t>
      </w:r>
      <w:r w:rsidRPr="006A1E48">
        <w:rPr>
          <w:rFonts w:ascii="Times New Roman" w:eastAsia="標楷體" w:hAnsi="Times New Roman"/>
          <w:kern w:val="0"/>
          <w:szCs w:val="24"/>
        </w:rPr>
        <w:t>係指歐盟「工業排放指令（</w:t>
      </w:r>
      <w:r w:rsidRPr="006A1E48">
        <w:rPr>
          <w:rFonts w:ascii="Times New Roman" w:eastAsia="標楷體" w:hAnsi="Times New Roman"/>
          <w:kern w:val="0"/>
          <w:szCs w:val="24"/>
        </w:rPr>
        <w:t>Directive 2010/75 on industrial emissions</w:t>
      </w:r>
      <w:r w:rsidRPr="006A1E48">
        <w:rPr>
          <w:rFonts w:ascii="Times New Roman" w:eastAsia="標楷體" w:hAnsi="Times New Roman"/>
          <w:kern w:val="0"/>
          <w:szCs w:val="24"/>
        </w:rPr>
        <w:t>；簡稱</w:t>
      </w:r>
      <w:r w:rsidRPr="006A1E48">
        <w:rPr>
          <w:rFonts w:ascii="Times New Roman" w:eastAsia="標楷體" w:hAnsi="Times New Roman"/>
          <w:kern w:val="0"/>
          <w:szCs w:val="24"/>
        </w:rPr>
        <w:t>IED</w:t>
      </w:r>
      <w:r w:rsidRPr="006A1E48">
        <w:rPr>
          <w:rFonts w:ascii="Times New Roman" w:eastAsia="標楷體" w:hAnsi="Times New Roman"/>
          <w:kern w:val="0"/>
          <w:szCs w:val="24"/>
        </w:rPr>
        <w:t>）」最佳可行技術參考文件系列（</w:t>
      </w:r>
      <w:r w:rsidRPr="006A1E48">
        <w:rPr>
          <w:rFonts w:ascii="Times New Roman" w:eastAsia="標楷體" w:hAnsi="Times New Roman"/>
          <w:kern w:val="0"/>
          <w:szCs w:val="24"/>
        </w:rPr>
        <w:t>Best Available Techniques Reference Documents</w:t>
      </w:r>
      <w:r w:rsidRPr="006A1E48">
        <w:rPr>
          <w:rFonts w:ascii="Times New Roman" w:eastAsia="標楷體" w:hAnsi="Times New Roman"/>
          <w:kern w:val="0"/>
          <w:szCs w:val="24"/>
        </w:rPr>
        <w:t>）；</w:t>
      </w:r>
      <w:r w:rsidRPr="006A1E48">
        <w:rPr>
          <w:rFonts w:ascii="Times New Roman" w:eastAsia="標楷體" w:hAnsi="Times New Roman"/>
          <w:kern w:val="0"/>
          <w:szCs w:val="24"/>
        </w:rPr>
        <w:t>BREF</w:t>
      </w:r>
      <w:r w:rsidRPr="006A1E48">
        <w:rPr>
          <w:rFonts w:ascii="Times New Roman" w:eastAsia="標楷體" w:hAnsi="Times New Roman"/>
          <w:kern w:val="0"/>
          <w:szCs w:val="24"/>
        </w:rPr>
        <w:t>（</w:t>
      </w:r>
      <w:r w:rsidRPr="006A1E48">
        <w:rPr>
          <w:rFonts w:ascii="Times New Roman" w:eastAsia="標楷體" w:hAnsi="Times New Roman"/>
          <w:kern w:val="0"/>
          <w:szCs w:val="24"/>
        </w:rPr>
        <w:t>2007</w:t>
      </w:r>
      <w:r w:rsidRPr="006A1E48">
        <w:rPr>
          <w:rFonts w:ascii="Times New Roman" w:eastAsia="標楷體" w:hAnsi="Times New Roman"/>
          <w:kern w:val="0"/>
          <w:szCs w:val="24"/>
        </w:rPr>
        <w:t>）係指</w:t>
      </w:r>
      <w:r w:rsidRPr="006A1E48">
        <w:rPr>
          <w:rFonts w:ascii="Times New Roman" w:eastAsia="標楷體" w:hAnsi="Times New Roman"/>
          <w:kern w:val="0"/>
          <w:szCs w:val="24"/>
        </w:rPr>
        <w:t>2007</w:t>
      </w:r>
      <w:r w:rsidRPr="006A1E48">
        <w:rPr>
          <w:rFonts w:ascii="Times New Roman" w:eastAsia="標楷體" w:hAnsi="Times New Roman"/>
          <w:kern w:val="0"/>
          <w:szCs w:val="24"/>
        </w:rPr>
        <w:t>年之版本。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ind w:left="1274" w:hangingChars="398" w:hanging="1274"/>
        <w:rPr>
          <w:rFonts w:ascii="Times New Roman" w:eastAsia="標楷體" w:hAnsi="標楷體"/>
          <w:b/>
          <w:kern w:val="0"/>
          <w:sz w:val="32"/>
          <w:szCs w:val="32"/>
        </w:rPr>
      </w:pPr>
      <w:r w:rsidRPr="006A1E48">
        <w:rPr>
          <w:rFonts w:ascii="Times New Roman" w:eastAsia="標楷體" w:hAnsi="Times New Roman"/>
          <w:kern w:val="0"/>
          <w:sz w:val="32"/>
          <w:szCs w:val="32"/>
        </w:rPr>
        <w:br w:type="page"/>
      </w:r>
      <w:r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lastRenderedPageBreak/>
        <w:t>附表四</w:t>
      </w:r>
      <w:r w:rsidRPr="006A1E48">
        <w:rPr>
          <w:rFonts w:ascii="Times New Roman" w:eastAsia="標楷體" w:hAnsi="標楷體"/>
          <w:b/>
          <w:kern w:val="0"/>
          <w:sz w:val="32"/>
          <w:szCs w:val="32"/>
        </w:rPr>
        <w:t>、</w:t>
      </w:r>
      <w:r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半導體或面板產業</w:t>
      </w:r>
      <w:r w:rsidRPr="006A1E48">
        <w:rPr>
          <w:rFonts w:ascii="Times New Roman" w:eastAsia="標楷體" w:hAnsi="標楷體"/>
          <w:b/>
          <w:kern w:val="0"/>
          <w:sz w:val="32"/>
          <w:szCs w:val="32"/>
        </w:rPr>
        <w:t>製程技術項目</w:t>
      </w:r>
      <w:r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應符合之</w:t>
      </w:r>
      <w:r w:rsidRPr="006A1E48">
        <w:rPr>
          <w:rFonts w:ascii="Times New Roman" w:eastAsia="標楷體" w:hAnsi="標楷體"/>
          <w:b/>
          <w:kern w:val="0"/>
          <w:sz w:val="32"/>
          <w:szCs w:val="32"/>
        </w:rPr>
        <w:t>最佳可行技術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 w:hint="eastAsia"/>
          <w:sz w:val="28"/>
          <w:szCs w:val="28"/>
        </w:rPr>
        <w:t>半導體業或面板產業之能源用戶，應符合下列相同行業「最佳可行技術」</w:t>
      </w:r>
      <w:r w:rsidRPr="006A1E48">
        <w:rPr>
          <w:rFonts w:ascii="Times New Roman" w:eastAsia="標楷體" w:hAnsi="Times New Roman"/>
          <w:sz w:val="28"/>
          <w:szCs w:val="28"/>
        </w:rPr>
        <w:t>所列示</w:t>
      </w:r>
      <w:r w:rsidRPr="006A1E48">
        <w:rPr>
          <w:rFonts w:ascii="Times New Roman" w:eastAsia="標楷體" w:hAnsi="Times New Roman" w:hint="eastAsia"/>
          <w:sz w:val="28"/>
          <w:szCs w:val="28"/>
        </w:rPr>
        <w:t>能源效率相關製程技術項目之內容</w:t>
      </w:r>
      <w:r w:rsidRPr="006A1E48">
        <w:rPr>
          <w:rFonts w:ascii="Times New Roman" w:eastAsia="標楷體" w:hAnsi="Times New Roman"/>
          <w:sz w:val="28"/>
          <w:szCs w:val="28"/>
        </w:rPr>
        <w:t>及效率值</w:t>
      </w:r>
      <w:r w:rsidRPr="006A1E48">
        <w:rPr>
          <w:rFonts w:ascii="Times New Roman" w:eastAsia="標楷體" w:hAnsi="Times New Roman" w:hint="eastAsia"/>
          <w:sz w:val="28"/>
          <w:szCs w:val="28"/>
        </w:rPr>
        <w:t>。</w:t>
      </w:r>
    </w:p>
    <w:p w:rsidR="00276025" w:rsidRPr="006A1E48" w:rsidRDefault="00276025" w:rsidP="00276025">
      <w:pPr>
        <w:widowControl/>
        <w:adjustRightInd w:val="0"/>
        <w:snapToGrid w:val="0"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標楷體"/>
          <w:bCs/>
          <w:sz w:val="28"/>
        </w:rPr>
        <w:t>一、半導體產業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製程技術項目應符合之</w:t>
      </w:r>
      <w:r w:rsidRPr="006A1E48">
        <w:rPr>
          <w:rFonts w:ascii="Times New Roman" w:eastAsia="標楷體" w:hAnsi="標楷體"/>
          <w:sz w:val="28"/>
          <w:szCs w:val="28"/>
        </w:rPr>
        <w:t>最佳可行技術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6A1E48" w:rsidRPr="006A1E48" w:rsidTr="00AE3A9D">
        <w:trPr>
          <w:trHeight w:val="249"/>
        </w:trPr>
        <w:tc>
          <w:tcPr>
            <w:tcW w:w="8789" w:type="dxa"/>
            <w:gridSpan w:val="2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半導體產業</w:t>
            </w:r>
            <w:r w:rsidRPr="006A1E48">
              <w:rPr>
                <w:rFonts w:ascii="Times New Roman" w:eastAsia="標楷體" w:hAnsi="標楷體" w:hint="eastAsia"/>
                <w:bCs/>
                <w:sz w:val="28"/>
                <w:szCs w:val="24"/>
              </w:rPr>
              <w:t>製程技術項目最佳可行技術</w:t>
            </w:r>
          </w:p>
        </w:tc>
      </w:tr>
      <w:tr w:rsidR="006A1E48" w:rsidRPr="006A1E48" w:rsidTr="00AE3A9D">
        <w:trPr>
          <w:trHeight w:val="1148"/>
        </w:trPr>
        <w:tc>
          <w:tcPr>
            <w:tcW w:w="851" w:type="dxa"/>
            <w:shd w:val="clear" w:color="auto" w:fill="auto"/>
          </w:tcPr>
          <w:p w:rsidR="00276025" w:rsidRPr="006A1E48" w:rsidRDefault="00276025" w:rsidP="00AE3A9D">
            <w:pPr>
              <w:snapToGrid w:val="0"/>
              <w:ind w:leftChars="-45" w:left="-2" w:hangingChars="38" w:hanging="106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（一）</w:t>
            </w:r>
          </w:p>
        </w:tc>
        <w:tc>
          <w:tcPr>
            <w:tcW w:w="7938" w:type="dxa"/>
            <w:shd w:val="clear" w:color="auto" w:fill="auto"/>
          </w:tcPr>
          <w:p w:rsidR="00276025" w:rsidRPr="006A1E48" w:rsidRDefault="00276025" w:rsidP="0038011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機台附屬</w:t>
            </w:r>
            <w:r w:rsidRPr="006A1E48">
              <w:rPr>
                <w:rFonts w:ascii="Times New Roman" w:eastAsia="標楷體" w:hAnsi="標楷體" w:hint="eastAsia"/>
                <w:bCs/>
                <w:sz w:val="28"/>
                <w:szCs w:val="24"/>
              </w:rPr>
              <w:t>設備之選用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：</w:t>
            </w:r>
          </w:p>
          <w:p w:rsidR="00276025" w:rsidRPr="006A1E48" w:rsidRDefault="00276025" w:rsidP="00380116">
            <w:pPr>
              <w:tabs>
                <w:tab w:val="left" w:pos="1114"/>
              </w:tabs>
              <w:snapToGrid w:val="0"/>
              <w:ind w:left="1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選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用高能源效率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附屬設備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如真空泵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Vacuum Pump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、尾氣處理設備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local scrubber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、冷卻器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chiller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、加熱器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heater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標楷體" w:hint="eastAsia"/>
                <w:sz w:val="28"/>
                <w:szCs w:val="24"/>
              </w:rPr>
              <w:t>等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）。</w:t>
            </w:r>
          </w:p>
        </w:tc>
      </w:tr>
      <w:tr w:rsidR="006A1E48" w:rsidRPr="006A1E48" w:rsidTr="00AE3A9D">
        <w:trPr>
          <w:trHeight w:val="4098"/>
        </w:trPr>
        <w:tc>
          <w:tcPr>
            <w:tcW w:w="851" w:type="dxa"/>
            <w:shd w:val="clear" w:color="auto" w:fill="auto"/>
          </w:tcPr>
          <w:p w:rsidR="00276025" w:rsidRPr="006A1E48" w:rsidRDefault="00276025" w:rsidP="00AE3A9D">
            <w:pPr>
              <w:snapToGrid w:val="0"/>
              <w:ind w:leftChars="-45" w:left="-2" w:hangingChars="38" w:hanging="106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（二）</w:t>
            </w:r>
          </w:p>
        </w:tc>
        <w:tc>
          <w:tcPr>
            <w:tcW w:w="7938" w:type="dxa"/>
            <w:shd w:val="clear" w:color="auto" w:fill="auto"/>
          </w:tcPr>
          <w:p w:rsidR="00276025" w:rsidRPr="006A1E48" w:rsidRDefault="00276025" w:rsidP="0038011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節能設計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：</w:t>
            </w:r>
          </w:p>
          <w:p w:rsidR="00276025" w:rsidRPr="006A1E48" w:rsidRDefault="00276025" w:rsidP="002973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03" w:hangingChars="144" w:hanging="403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評估量測主副機台耗能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如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SEMI S23 -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半導體製造設備之能源、電力、原料節約基準或其他方式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，採最適節能措施。</w:t>
            </w:r>
          </w:p>
          <w:p w:rsidR="00276025" w:rsidRPr="006A1E48" w:rsidRDefault="00276025" w:rsidP="002973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03" w:hangingChars="144" w:hanging="403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電氣元件符合國際最新節能設施規範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如等同或優於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IE3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等級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-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超高效率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；電氣設施採變頻控制（如機台所使用之泵浦加裝變頻裝置或節能調節器等）。</w:t>
            </w:r>
          </w:p>
          <w:p w:rsidR="00276025" w:rsidRPr="006A1E48" w:rsidRDefault="00276025" w:rsidP="002973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03" w:hangingChars="144" w:hanging="403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主機台與附屬設備間選採具備節省能源考量之硬體與控制設計，如各類待機模式（休眠模式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Sleep mode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、待機模式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Idle mode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）</w:t>
            </w:r>
            <w:r w:rsidR="00D628C5" w:rsidRPr="001609CF">
              <w:rPr>
                <w:rFonts w:ascii="Times New Roman" w:eastAsia="標楷體" w:hAnsi="標楷體"/>
                <w:color w:val="000000" w:themeColor="text1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等。</w:t>
            </w:r>
          </w:p>
          <w:p w:rsidR="00276025" w:rsidRPr="006A1E48" w:rsidRDefault="00276025" w:rsidP="002973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03" w:hangingChars="144" w:hanging="403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系統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utility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節能最適化：排氣、冷卻、壓縮空氣、惰性氣體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如氮氣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</w:t>
            </w: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等用量調整之設計與管理機制。</w:t>
            </w:r>
          </w:p>
        </w:tc>
      </w:tr>
      <w:tr w:rsidR="006A1E48" w:rsidRPr="006A1E48" w:rsidTr="007F186A">
        <w:trPr>
          <w:trHeight w:val="5943"/>
        </w:trPr>
        <w:tc>
          <w:tcPr>
            <w:tcW w:w="851" w:type="dxa"/>
            <w:shd w:val="clear" w:color="auto" w:fill="auto"/>
          </w:tcPr>
          <w:p w:rsidR="00276025" w:rsidRPr="006A1E48" w:rsidRDefault="00276025" w:rsidP="00AE3A9D">
            <w:pPr>
              <w:snapToGrid w:val="0"/>
              <w:ind w:leftChars="-45" w:left="-2" w:hangingChars="38" w:hanging="106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（三）</w:t>
            </w:r>
          </w:p>
        </w:tc>
        <w:tc>
          <w:tcPr>
            <w:tcW w:w="7938" w:type="dxa"/>
            <w:shd w:val="clear" w:color="auto" w:fill="auto"/>
          </w:tcPr>
          <w:p w:rsidR="00276025" w:rsidRPr="006A1E48" w:rsidRDefault="00276025" w:rsidP="0038011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Cs/>
                <w:i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sz w:val="28"/>
                <w:szCs w:val="24"/>
              </w:rPr>
              <w:t>製程技術能源使用強度：</w:t>
            </w:r>
          </w:p>
          <w:p w:rsidR="00276025" w:rsidRPr="006A1E48" w:rsidRDefault="00276025" w:rsidP="00380116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代工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6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吋以下、代工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8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吋、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DRAM8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吋之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製程技術，須符合前</w:t>
            </w:r>
            <w:r w:rsidRPr="006A1E48">
              <w:rPr>
                <w:rFonts w:ascii="Times New Roman" w:eastAsia="標楷體" w:hAnsi="Times New Roman"/>
                <w:kern w:val="0"/>
                <w:sz w:val="28"/>
                <w:szCs w:val="24"/>
              </w:rPr>
              <w:t>10%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Times New Roman"/>
                <w:kern w:val="0"/>
                <w:sz w:val="28"/>
                <w:szCs w:val="24"/>
              </w:rPr>
              <w:t>Top 10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）能源使用強度標竿值，如下表：</w:t>
            </w:r>
          </w:p>
          <w:p w:rsidR="00276025" w:rsidRPr="006A1E48" w:rsidRDefault="00276025" w:rsidP="00AE3A9D">
            <w:pPr>
              <w:snapToGrid w:val="0"/>
              <w:spacing w:beforeLines="50" w:before="180"/>
              <w:jc w:val="right"/>
              <w:rPr>
                <w:rFonts w:ascii="Times New Roman" w:eastAsia="標楷體" w:hAnsi="Times New Roman"/>
                <w:szCs w:val="24"/>
              </w:rPr>
            </w:pPr>
            <w:r w:rsidRPr="006A1E48">
              <w:rPr>
                <w:rFonts w:ascii="Times New Roman" w:eastAsia="標楷體" w:hAnsi="標楷體"/>
                <w:szCs w:val="24"/>
              </w:rPr>
              <w:t>單位：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度電</w:t>
            </w:r>
            <w:r w:rsidRPr="006A1E48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6A1E48">
              <w:rPr>
                <w:rFonts w:ascii="Times New Roman" w:eastAsia="標楷體" w:hAnsi="Times New Roman" w:hint="eastAsia"/>
                <w:bCs/>
                <w:szCs w:val="24"/>
              </w:rPr>
              <w:t>矽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晶圓面積</w:t>
            </w:r>
            <w:r w:rsidRPr="006A1E48">
              <w:rPr>
                <w:rFonts w:ascii="Times New Roman" w:eastAsia="標楷體" w:hAnsi="標楷體" w:hint="eastAsia"/>
                <w:bCs/>
                <w:szCs w:val="24"/>
              </w:rPr>
              <w:t>-</w:t>
            </w:r>
            <w:r w:rsidRPr="006A1E48">
              <w:rPr>
                <w:rFonts w:ascii="Times New Roman" w:eastAsia="標楷體" w:hAnsi="標楷體" w:hint="eastAsia"/>
                <w:szCs w:val="24"/>
              </w:rPr>
              <w:t>平方公分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212"/>
              <w:gridCol w:w="1665"/>
              <w:gridCol w:w="1680"/>
            </w:tblGrid>
            <w:tr w:rsidR="006A1E48" w:rsidRPr="006A1E48" w:rsidTr="00AE3A9D">
              <w:tc>
                <w:tcPr>
                  <w:tcW w:w="1984" w:type="dxa"/>
                </w:tcPr>
                <w:p w:rsidR="00276025" w:rsidRPr="006A1E48" w:rsidRDefault="00276025" w:rsidP="00380116">
                  <w:pPr>
                    <w:snapToGrid w:val="0"/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2212" w:type="dxa"/>
                  <w:shd w:val="clear" w:color="auto" w:fill="auto"/>
                  <w:vAlign w:val="center"/>
                </w:tcPr>
                <w:p w:rsidR="00276025" w:rsidRPr="006A1E48" w:rsidRDefault="00276025" w:rsidP="00186FE7">
                  <w:pPr>
                    <w:snapToGrid w:val="0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  <w:t>代工</w:t>
                  </w:r>
                  <w:r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  <w:t>6</w:t>
                  </w:r>
                  <w:r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  <w:t>吋以下</w:t>
                  </w:r>
                  <w:r w:rsidR="00186FE7" w:rsidRPr="006A1E48">
                    <w:rPr>
                      <w:rFonts w:ascii="Times New Roman" w:eastAsia="標楷體" w:hAnsi="Times New Roman"/>
                      <w:kern w:val="0"/>
                      <w:sz w:val="28"/>
                      <w:szCs w:val="24"/>
                      <w:vertAlign w:val="superscript"/>
                    </w:rPr>
                    <w:t>註</w:t>
                  </w:r>
                  <w:r w:rsidR="00186FE7" w:rsidRPr="006A1E48">
                    <w:rPr>
                      <w:rFonts w:ascii="Times New Roman" w:eastAsia="標楷體" w:hAnsi="Times New Roman"/>
                      <w:kern w:val="0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276025" w:rsidRPr="006A1E48" w:rsidRDefault="00276025" w:rsidP="00380116">
                  <w:pPr>
                    <w:snapToGrid w:val="0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  <w:t>代工</w:t>
                  </w:r>
                  <w:r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  <w:t>8</w:t>
                  </w:r>
                  <w:r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  <w:t>吋</w:t>
                  </w:r>
                  <w:r w:rsidR="00186FE7" w:rsidRPr="006A1E48">
                    <w:rPr>
                      <w:rFonts w:ascii="Times New Roman" w:eastAsia="標楷體" w:hAnsi="Times New Roman"/>
                      <w:kern w:val="0"/>
                      <w:sz w:val="28"/>
                      <w:szCs w:val="24"/>
                      <w:vertAlign w:val="superscript"/>
                    </w:rPr>
                    <w:t>註</w:t>
                  </w:r>
                  <w:r w:rsidR="00186FE7" w:rsidRPr="006A1E48">
                    <w:rPr>
                      <w:rFonts w:ascii="Times New Roman" w:eastAsia="標楷體" w:hAnsi="Times New Roman"/>
                      <w:kern w:val="0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276025" w:rsidRPr="006A1E48" w:rsidRDefault="00276025" w:rsidP="00380116">
                  <w:pPr>
                    <w:snapToGrid w:val="0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  <w:t>DRAM8</w:t>
                  </w:r>
                  <w:r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  <w:t>吋</w:t>
                  </w:r>
                </w:p>
              </w:tc>
            </w:tr>
            <w:tr w:rsidR="006A1E48" w:rsidRPr="006A1E48" w:rsidTr="00AE3A9D">
              <w:tc>
                <w:tcPr>
                  <w:tcW w:w="1984" w:type="dxa"/>
                </w:tcPr>
                <w:p w:rsidR="00276025" w:rsidRPr="006A1E48" w:rsidRDefault="00276025" w:rsidP="00380116">
                  <w:pPr>
                    <w:snapToGrid w:val="0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標楷體"/>
                      <w:sz w:val="28"/>
                      <w:szCs w:val="24"/>
                    </w:rPr>
                    <w:t>能源使用強度</w:t>
                  </w:r>
                </w:p>
              </w:tc>
              <w:tc>
                <w:tcPr>
                  <w:tcW w:w="2212" w:type="dxa"/>
                  <w:shd w:val="clear" w:color="auto" w:fill="auto"/>
                  <w:vAlign w:val="center"/>
                </w:tcPr>
                <w:p w:rsidR="00276025" w:rsidRPr="006A1E48" w:rsidRDefault="00276025" w:rsidP="00380116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sz w:val="28"/>
                      <w:szCs w:val="24"/>
                    </w:rPr>
                    <w:t>0.756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276025" w:rsidRPr="006A1E48" w:rsidRDefault="00276025" w:rsidP="00380116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sz w:val="28"/>
                      <w:szCs w:val="24"/>
                    </w:rPr>
                    <w:t>0.876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276025" w:rsidRPr="006A1E48" w:rsidRDefault="00276025" w:rsidP="00380116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sz w:val="28"/>
                      <w:szCs w:val="24"/>
                    </w:rPr>
                    <w:t>0.930</w:t>
                  </w:r>
                </w:p>
              </w:tc>
            </w:tr>
          </w:tbl>
          <w:p w:rsidR="00276025" w:rsidRPr="006A1E48" w:rsidRDefault="00276025" w:rsidP="00380116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Cs w:val="24"/>
              </w:rPr>
              <w:t>註</w:t>
            </w:r>
            <w:r w:rsidRPr="006A1E48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：適用</w:t>
            </w:r>
            <w:r w:rsidRPr="006A1E48">
              <w:rPr>
                <w:rFonts w:ascii="Times New Roman" w:eastAsia="標楷體" w:hAnsi="Times New Roman"/>
                <w:bCs/>
                <w:szCs w:val="24"/>
              </w:rPr>
              <w:t>6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吋平均光罩層數</w:t>
            </w:r>
            <w:r w:rsidRPr="006A1E48">
              <w:rPr>
                <w:rFonts w:ascii="Times New Roman" w:eastAsia="標楷體" w:hAnsi="標楷體" w:hint="eastAsia"/>
                <w:bCs/>
                <w:szCs w:val="24"/>
              </w:rPr>
              <w:t>（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mask layer</w:t>
            </w:r>
            <w:r w:rsidRPr="006A1E48">
              <w:rPr>
                <w:rFonts w:ascii="Times New Roman" w:eastAsia="標楷體" w:hAnsi="標楷體" w:hint="eastAsia"/>
                <w:bCs/>
                <w:szCs w:val="24"/>
              </w:rPr>
              <w:t>）</w:t>
            </w:r>
            <w:r w:rsidRPr="006A1E48">
              <w:rPr>
                <w:rFonts w:ascii="Times New Roman" w:eastAsia="標楷體" w:hAnsi="Times New Roman"/>
                <w:bCs/>
                <w:szCs w:val="24"/>
              </w:rPr>
              <w:t>14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以下者。</w:t>
            </w:r>
          </w:p>
          <w:p w:rsidR="00276025" w:rsidRPr="006A1E48" w:rsidRDefault="00276025" w:rsidP="00380116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Cs w:val="24"/>
              </w:rPr>
              <w:t>註</w:t>
            </w:r>
            <w:r w:rsidRPr="006A1E48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：適用</w:t>
            </w:r>
            <w:r w:rsidRPr="006A1E48">
              <w:rPr>
                <w:rFonts w:ascii="Times New Roman" w:eastAsia="標楷體" w:hAnsi="Times New Roman"/>
                <w:bCs/>
                <w:szCs w:val="24"/>
              </w:rPr>
              <w:t>8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吋平均光罩層數</w:t>
            </w:r>
            <w:r w:rsidRPr="006A1E48">
              <w:rPr>
                <w:rFonts w:ascii="Times New Roman" w:eastAsia="標楷體" w:hAnsi="標楷體" w:hint="eastAsia"/>
                <w:bCs/>
                <w:szCs w:val="24"/>
              </w:rPr>
              <w:t>（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mask layer</w:t>
            </w:r>
            <w:r w:rsidRPr="006A1E48">
              <w:rPr>
                <w:rFonts w:ascii="Times New Roman" w:eastAsia="標楷體" w:hAnsi="標楷體" w:hint="eastAsia"/>
                <w:bCs/>
                <w:szCs w:val="24"/>
              </w:rPr>
              <w:t>）</w:t>
            </w:r>
            <w:r w:rsidRPr="006A1E48">
              <w:rPr>
                <w:rFonts w:ascii="Times New Roman" w:eastAsia="標楷體" w:hAnsi="Times New Roman"/>
                <w:bCs/>
                <w:szCs w:val="24"/>
              </w:rPr>
              <w:t>15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以下者。</w:t>
            </w:r>
          </w:p>
          <w:p w:rsidR="00276025" w:rsidRPr="006A1E48" w:rsidRDefault="00276025" w:rsidP="00380116">
            <w:pPr>
              <w:snapToGrid w:val="0"/>
              <w:ind w:left="636" w:hangingChars="265" w:hanging="636"/>
              <w:jc w:val="both"/>
              <w:rPr>
                <w:rFonts w:ascii="Times New Roman" w:eastAsia="標楷體" w:hAnsi="標楷體"/>
                <w:bCs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Cs w:val="24"/>
              </w:rPr>
              <w:t>註</w:t>
            </w:r>
            <w:r w:rsidRPr="006A1E48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：</w:t>
            </w:r>
            <w:r w:rsidRPr="006A1E48">
              <w:rPr>
                <w:rFonts w:ascii="Times New Roman" w:eastAsia="標楷體" w:hAnsi="Times New Roman"/>
                <w:bCs/>
                <w:szCs w:val="24"/>
              </w:rPr>
              <w:t>6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吋平均光罩層數超過</w:t>
            </w:r>
            <w:r w:rsidRPr="006A1E48">
              <w:rPr>
                <w:rFonts w:ascii="Times New Roman" w:eastAsia="標楷體" w:hAnsi="Times New Roman"/>
                <w:bCs/>
                <w:szCs w:val="24"/>
              </w:rPr>
              <w:t>14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層、</w:t>
            </w:r>
            <w:r w:rsidRPr="006A1E48">
              <w:rPr>
                <w:rFonts w:ascii="Times New Roman" w:eastAsia="標楷體" w:hAnsi="Times New Roman"/>
                <w:bCs/>
                <w:szCs w:val="24"/>
              </w:rPr>
              <w:t>8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吋平均光罩層數超過</w:t>
            </w:r>
            <w:r w:rsidRPr="006A1E48">
              <w:rPr>
                <w:rFonts w:ascii="Times New Roman" w:eastAsia="標楷體" w:hAnsi="Times New Roman"/>
                <w:bCs/>
                <w:szCs w:val="24"/>
              </w:rPr>
              <w:t>15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層者，</w:t>
            </w:r>
            <w:r w:rsidRPr="006A1E48">
              <w:rPr>
                <w:rFonts w:ascii="Times New Roman" w:eastAsia="標楷體" w:hAnsi="標楷體"/>
                <w:szCs w:val="24"/>
              </w:rPr>
              <w:t>或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因法</w:t>
            </w:r>
            <w:r w:rsidRPr="006A1E48">
              <w:rPr>
                <w:rFonts w:ascii="Times New Roman" w:eastAsia="標楷體" w:hAnsi="標楷體" w:hint="eastAsia"/>
                <w:bCs/>
                <w:szCs w:val="24"/>
              </w:rPr>
              <w:t>規</w:t>
            </w:r>
            <w:r w:rsidRPr="006A1E48">
              <w:rPr>
                <w:rFonts w:ascii="Times New Roman" w:eastAsia="標楷體" w:hAnsi="標楷體"/>
                <w:bCs/>
                <w:szCs w:val="24"/>
              </w:rPr>
              <w:t>限制、專利權保護、國際貿易障礙或其他不可歸責於申請人等因素，致不能符合者，經提出資料佐證，不受其限制。</w:t>
            </w:r>
          </w:p>
          <w:p w:rsidR="00276025" w:rsidRPr="006A1E48" w:rsidRDefault="00276025" w:rsidP="00380116">
            <w:pPr>
              <w:snapToGrid w:val="0"/>
              <w:ind w:left="636" w:hangingChars="265" w:hanging="636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Cs w:val="24"/>
              </w:rPr>
              <w:t>註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4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：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能源使用強度計算公式：</w:t>
            </w:r>
          </w:p>
          <w:p w:rsidR="00276025" w:rsidRDefault="007F186A" w:rsidP="007F186A">
            <w:pPr>
              <w:snapToGrid w:val="0"/>
              <w:ind w:left="636" w:hangingChars="265" w:hanging="636"/>
              <w:jc w:val="both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B8DE478" wp14:editId="2D829F2B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29210</wp:posOffset>
                  </wp:positionV>
                  <wp:extent cx="3802380" cy="482600"/>
                  <wp:effectExtent l="0" t="0" r="0" b="0"/>
                  <wp:wrapTight wrapText="bothSides">
                    <wp:wrapPolygon edited="0">
                      <wp:start x="5735" y="853"/>
                      <wp:lineTo x="325" y="6821"/>
                      <wp:lineTo x="325" y="12789"/>
                      <wp:lineTo x="5844" y="16200"/>
                      <wp:lineTo x="5735" y="18758"/>
                      <wp:lineTo x="21102" y="18758"/>
                      <wp:lineTo x="21427" y="16200"/>
                      <wp:lineTo x="21102" y="10232"/>
                      <wp:lineTo x="20453" y="853"/>
                      <wp:lineTo x="5735" y="853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38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186A" w:rsidRPr="006A1E48" w:rsidRDefault="007F186A" w:rsidP="00380116">
            <w:pPr>
              <w:snapToGrid w:val="0"/>
              <w:ind w:left="742" w:hangingChars="265" w:hanging="742"/>
              <w:jc w:val="both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</w:p>
          <w:p w:rsidR="00276025" w:rsidRPr="006A1E48" w:rsidRDefault="00276025" w:rsidP="00380116">
            <w:pPr>
              <w:snapToGrid w:val="0"/>
              <w:ind w:left="742" w:hangingChars="265" w:hanging="742"/>
              <w:jc w:val="both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</w:p>
          <w:p w:rsidR="00276025" w:rsidRPr="006A1E48" w:rsidRDefault="00276025" w:rsidP="00380116">
            <w:pPr>
              <w:snapToGrid w:val="0"/>
              <w:ind w:leftChars="282" w:left="677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前述單一尺寸相同製程之</w:t>
            </w:r>
            <w:r w:rsidRPr="006A1E48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矽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晶圓年產出面積，計算式為：π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×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r</w:t>
            </w:r>
            <w:r w:rsidRPr="006A1E48">
              <w:rPr>
                <w:rFonts w:ascii="Times New Roman" w:eastAsia="標楷體" w:hAnsi="標楷體"/>
                <w:kern w:val="0"/>
                <w:szCs w:val="24"/>
                <w:vertAlign w:val="superscript"/>
              </w:rPr>
              <w:t xml:space="preserve">2 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×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 xml:space="preserve"> </w:t>
            </w:r>
            <w:r w:rsidRPr="006A1E48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矽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晶圓產出片數（片），其中π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 xml:space="preserve"> 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為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3.1415926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 xml:space="preserve">r 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為</w:t>
            </w:r>
            <w:r w:rsidRPr="006A1E48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矽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晶圓半徑（公分）。</w:t>
            </w:r>
          </w:p>
        </w:tc>
      </w:tr>
    </w:tbl>
    <w:p w:rsidR="00276025" w:rsidRPr="006A1E48" w:rsidRDefault="00276025" w:rsidP="00276025">
      <w:pPr>
        <w:widowControl/>
        <w:adjustRightInd w:val="0"/>
        <w:snapToGrid w:val="0"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6A1E48">
        <w:rPr>
          <w:rFonts w:ascii="Times New Roman" w:eastAsia="標楷體" w:hAnsi="Times New Roman"/>
          <w:kern w:val="0"/>
          <w:sz w:val="28"/>
          <w:szCs w:val="24"/>
        </w:rPr>
        <w:br w:type="page"/>
      </w:r>
      <w:r w:rsidRPr="006A1E48">
        <w:rPr>
          <w:rFonts w:ascii="Times New Roman" w:eastAsia="標楷體" w:hAnsi="標楷體" w:hint="eastAsia"/>
          <w:bCs/>
          <w:sz w:val="28"/>
        </w:rPr>
        <w:lastRenderedPageBreak/>
        <w:t>二</w:t>
      </w:r>
      <w:r w:rsidRPr="006A1E48">
        <w:rPr>
          <w:rFonts w:ascii="Times New Roman" w:eastAsia="標楷體" w:hAnsi="標楷體"/>
          <w:bCs/>
          <w:sz w:val="28"/>
        </w:rPr>
        <w:t>、</w:t>
      </w:r>
      <w:r w:rsidRPr="006A1E48">
        <w:rPr>
          <w:rFonts w:ascii="Times New Roman" w:eastAsia="標楷體" w:hAnsi="標楷體" w:hint="eastAsia"/>
          <w:bCs/>
          <w:sz w:val="28"/>
        </w:rPr>
        <w:t>面板</w:t>
      </w:r>
      <w:r w:rsidRPr="006A1E48">
        <w:rPr>
          <w:rFonts w:ascii="Times New Roman" w:eastAsia="標楷體" w:hAnsi="標楷體"/>
          <w:bCs/>
          <w:sz w:val="28"/>
        </w:rPr>
        <w:t>產業</w:t>
      </w:r>
      <w:r w:rsidRPr="006A1E48">
        <w:rPr>
          <w:rFonts w:ascii="Times New Roman" w:eastAsia="標楷體" w:hAnsi="標楷體" w:hint="eastAsia"/>
          <w:kern w:val="0"/>
          <w:sz w:val="28"/>
          <w:szCs w:val="24"/>
        </w:rPr>
        <w:t>製程技術項目應符合之</w:t>
      </w:r>
      <w:r w:rsidRPr="006A1E48">
        <w:rPr>
          <w:rFonts w:ascii="Times New Roman" w:eastAsia="標楷體" w:hAnsi="標楷體"/>
          <w:sz w:val="28"/>
          <w:szCs w:val="28"/>
        </w:rPr>
        <w:t>最佳可行技術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</w:tblGrid>
      <w:tr w:rsidR="006A1E48" w:rsidRPr="006A1E48" w:rsidTr="00AE3A9D">
        <w:tc>
          <w:tcPr>
            <w:tcW w:w="8647" w:type="dxa"/>
            <w:gridSpan w:val="2"/>
            <w:shd w:val="clear" w:color="auto" w:fill="auto"/>
          </w:tcPr>
          <w:p w:rsidR="00276025" w:rsidRPr="006A1E48" w:rsidRDefault="00276025" w:rsidP="00380116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/>
                <w:kern w:val="0"/>
                <w:sz w:val="28"/>
                <w:szCs w:val="24"/>
              </w:rPr>
              <w:br w:type="page"/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面板產業</w:t>
            </w:r>
            <w:r w:rsidRPr="006A1E48">
              <w:rPr>
                <w:rFonts w:ascii="Times New Roman" w:eastAsia="標楷體" w:hAnsi="標楷體" w:hint="eastAsia"/>
                <w:bCs/>
                <w:sz w:val="28"/>
                <w:szCs w:val="24"/>
              </w:rPr>
              <w:t>製程技術項目最佳可行技術</w:t>
            </w:r>
          </w:p>
        </w:tc>
      </w:tr>
      <w:tr w:rsidR="006A1E48" w:rsidRPr="006A1E48" w:rsidTr="00AE3A9D">
        <w:trPr>
          <w:trHeight w:val="1575"/>
        </w:trPr>
        <w:tc>
          <w:tcPr>
            <w:tcW w:w="851" w:type="dxa"/>
            <w:shd w:val="clear" w:color="auto" w:fill="auto"/>
          </w:tcPr>
          <w:p w:rsidR="00276025" w:rsidRPr="006A1E48" w:rsidRDefault="00276025" w:rsidP="00AE3A9D">
            <w:pPr>
              <w:snapToGrid w:val="0"/>
              <w:ind w:leftChars="-45" w:left="-2" w:hangingChars="38" w:hanging="106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（一）</w:t>
            </w:r>
          </w:p>
        </w:tc>
        <w:tc>
          <w:tcPr>
            <w:tcW w:w="7796" w:type="dxa"/>
            <w:shd w:val="clear" w:color="auto" w:fill="auto"/>
          </w:tcPr>
          <w:p w:rsidR="00276025" w:rsidRPr="006A1E48" w:rsidRDefault="00276025" w:rsidP="0038011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機台附屬</w:t>
            </w:r>
            <w:r w:rsidRPr="006A1E48">
              <w:rPr>
                <w:rFonts w:ascii="Times New Roman" w:eastAsia="標楷體" w:hAnsi="標楷體" w:hint="eastAsia"/>
                <w:bCs/>
                <w:sz w:val="28"/>
                <w:szCs w:val="24"/>
              </w:rPr>
              <w:t>設備之選用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：</w:t>
            </w:r>
          </w:p>
          <w:p w:rsidR="00276025" w:rsidRPr="006A1E48" w:rsidRDefault="00276025" w:rsidP="002973D7">
            <w:pPr>
              <w:numPr>
                <w:ilvl w:val="0"/>
                <w:numId w:val="2"/>
              </w:numPr>
              <w:tabs>
                <w:tab w:val="left" w:pos="343"/>
              </w:tabs>
              <w:snapToGrid w:val="0"/>
              <w:jc w:val="both"/>
              <w:rPr>
                <w:rFonts w:ascii="Times New Roman" w:eastAsia="標楷體" w:hAnsi="Times New Roman"/>
                <w:bCs/>
                <w:i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sz w:val="28"/>
                <w:szCs w:val="24"/>
              </w:rPr>
              <w:t>儘可能評估其能源效率。</w:t>
            </w:r>
          </w:p>
          <w:p w:rsidR="00276025" w:rsidRPr="006A1E48" w:rsidRDefault="00276025" w:rsidP="002973D7">
            <w:pPr>
              <w:numPr>
                <w:ilvl w:val="0"/>
                <w:numId w:val="2"/>
              </w:numPr>
              <w:tabs>
                <w:tab w:val="left" w:pos="343"/>
              </w:tabs>
              <w:snapToGrid w:val="0"/>
              <w:ind w:left="343" w:hanging="343"/>
              <w:jc w:val="both"/>
              <w:rPr>
                <w:rFonts w:ascii="Times New Roman" w:eastAsia="標楷體" w:hAnsi="Times New Roman"/>
                <w:bCs/>
                <w:i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sz w:val="28"/>
                <w:szCs w:val="24"/>
              </w:rPr>
              <w:t>採用高能源效率或變頻控制（如機台所使用之泵浦須加裝變頻裝置或是節能調節器等）。</w:t>
            </w:r>
          </w:p>
        </w:tc>
      </w:tr>
      <w:tr w:rsidR="006A1E48" w:rsidRPr="006A1E48" w:rsidTr="00AE3A9D">
        <w:trPr>
          <w:trHeight w:val="2249"/>
        </w:trPr>
        <w:tc>
          <w:tcPr>
            <w:tcW w:w="851" w:type="dxa"/>
            <w:shd w:val="clear" w:color="auto" w:fill="auto"/>
          </w:tcPr>
          <w:p w:rsidR="00276025" w:rsidRPr="006A1E48" w:rsidRDefault="00276025" w:rsidP="00AE3A9D">
            <w:pPr>
              <w:snapToGrid w:val="0"/>
              <w:ind w:leftChars="-45" w:left="-2" w:hangingChars="38" w:hanging="106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（二）</w:t>
            </w:r>
          </w:p>
        </w:tc>
        <w:tc>
          <w:tcPr>
            <w:tcW w:w="7796" w:type="dxa"/>
            <w:shd w:val="clear" w:color="auto" w:fill="auto"/>
          </w:tcPr>
          <w:p w:rsidR="00276025" w:rsidRPr="006A1E48" w:rsidRDefault="00276025" w:rsidP="0038011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i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節能設計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：</w:t>
            </w:r>
          </w:p>
          <w:p w:rsidR="00276025" w:rsidRPr="006A1E48" w:rsidRDefault="00276025" w:rsidP="00380116">
            <w:pPr>
              <w:autoSpaceDE w:val="0"/>
              <w:autoSpaceDN w:val="0"/>
              <w:adjustRightInd w:val="0"/>
              <w:snapToGrid w:val="0"/>
              <w:ind w:left="370" w:hangingChars="132" w:hanging="370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機台設備應</w:t>
            </w:r>
            <w:r w:rsidRPr="006A1E48">
              <w:rPr>
                <w:rFonts w:ascii="Times New Roman" w:eastAsia="標楷體" w:hAnsi="標楷體" w:hint="eastAsia"/>
                <w:kern w:val="0"/>
                <w:sz w:val="28"/>
                <w:szCs w:val="24"/>
              </w:rPr>
              <w:t>符合下列項目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：</w:t>
            </w:r>
          </w:p>
          <w:p w:rsidR="00276025" w:rsidRPr="006A1E48" w:rsidRDefault="00276025" w:rsidP="002973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="343" w:hanging="343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sz w:val="28"/>
                <w:szCs w:val="24"/>
              </w:rPr>
              <w:t>具備節省能資源考量之待機模式（</w:t>
            </w:r>
            <w:r w:rsidRPr="006A1E48">
              <w:rPr>
                <w:rFonts w:ascii="Times New Roman" w:eastAsia="標楷體" w:hAnsi="Times New Roman"/>
                <w:sz w:val="28"/>
                <w:szCs w:val="24"/>
              </w:rPr>
              <w:t>Idle mode</w:t>
            </w:r>
            <w:r w:rsidRPr="006A1E48">
              <w:rPr>
                <w:rFonts w:ascii="Times New Roman" w:eastAsia="標楷體" w:hAnsi="標楷體"/>
                <w:sz w:val="28"/>
                <w:szCs w:val="24"/>
              </w:rPr>
              <w:t>）者，或具備其他能達到相同功效之節能模式設計。</w:t>
            </w:r>
          </w:p>
          <w:p w:rsidR="00276025" w:rsidRPr="006A1E48" w:rsidRDefault="00276025" w:rsidP="002973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="343" w:hanging="343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sz w:val="28"/>
                <w:szCs w:val="24"/>
              </w:rPr>
              <w:t>具備自動或手動控制之相對應軟體，以進行如真空泵、烤箱等耗能附屬設備待機模式下之節能控制。</w:t>
            </w:r>
          </w:p>
        </w:tc>
      </w:tr>
      <w:tr w:rsidR="00276025" w:rsidRPr="006A1E48" w:rsidTr="00AE3A9D">
        <w:trPr>
          <w:trHeight w:val="557"/>
        </w:trPr>
        <w:tc>
          <w:tcPr>
            <w:tcW w:w="851" w:type="dxa"/>
            <w:shd w:val="clear" w:color="auto" w:fill="auto"/>
          </w:tcPr>
          <w:p w:rsidR="00276025" w:rsidRPr="006A1E48" w:rsidRDefault="00276025" w:rsidP="00AE3A9D">
            <w:pPr>
              <w:snapToGrid w:val="0"/>
              <w:ind w:leftChars="-45" w:left="-2" w:hangingChars="38" w:hanging="106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（三）</w:t>
            </w:r>
          </w:p>
        </w:tc>
        <w:tc>
          <w:tcPr>
            <w:tcW w:w="7796" w:type="dxa"/>
            <w:shd w:val="clear" w:color="auto" w:fill="auto"/>
          </w:tcPr>
          <w:p w:rsidR="00276025" w:rsidRPr="006A1E48" w:rsidRDefault="00276025" w:rsidP="0038011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Cs/>
                <w:i/>
                <w:sz w:val="28"/>
                <w:szCs w:val="24"/>
              </w:rPr>
            </w:pPr>
            <w:r w:rsidRPr="006A1E48">
              <w:rPr>
                <w:rFonts w:ascii="Times New Roman" w:eastAsia="標楷體" w:hAnsi="標楷體"/>
                <w:sz w:val="28"/>
                <w:szCs w:val="24"/>
              </w:rPr>
              <w:t>製程技術能源使用強度：</w:t>
            </w:r>
          </w:p>
          <w:p w:rsidR="00276025" w:rsidRPr="006A1E48" w:rsidRDefault="00276025" w:rsidP="00380116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5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代廠以下、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5.5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代廠至</w:t>
            </w:r>
            <w:r w:rsidRPr="006A1E48">
              <w:rPr>
                <w:rFonts w:ascii="Times New Roman" w:eastAsia="標楷體" w:hAnsi="Times New Roman"/>
                <w:bCs/>
                <w:sz w:val="28"/>
                <w:szCs w:val="24"/>
              </w:rPr>
              <w:t>8</w:t>
            </w:r>
            <w:r w:rsidRPr="006A1E48">
              <w:rPr>
                <w:rFonts w:ascii="Times New Roman" w:eastAsia="標楷體" w:hAnsi="標楷體"/>
                <w:bCs/>
                <w:sz w:val="28"/>
                <w:szCs w:val="24"/>
              </w:rPr>
              <w:t>代廠以下之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製程技術，須符合前</w:t>
            </w:r>
            <w:r w:rsidRPr="006A1E48">
              <w:rPr>
                <w:rFonts w:ascii="Times New Roman" w:eastAsia="標楷體" w:hAnsi="Times New Roman"/>
                <w:kern w:val="0"/>
                <w:sz w:val="28"/>
                <w:szCs w:val="24"/>
              </w:rPr>
              <w:t>10%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（</w:t>
            </w:r>
            <w:r w:rsidRPr="006A1E48">
              <w:rPr>
                <w:rFonts w:ascii="Times New Roman" w:eastAsia="標楷體" w:hAnsi="Times New Roman"/>
                <w:kern w:val="0"/>
                <w:sz w:val="28"/>
                <w:szCs w:val="24"/>
              </w:rPr>
              <w:t>Top 10</w:t>
            </w:r>
            <w:r w:rsidRPr="006A1E48">
              <w:rPr>
                <w:rFonts w:ascii="Times New Roman" w:eastAsia="標楷體" w:hAnsi="標楷體"/>
                <w:kern w:val="0"/>
                <w:sz w:val="28"/>
                <w:szCs w:val="24"/>
              </w:rPr>
              <w:t>）能源使用強度標竿值，如下表：</w:t>
            </w:r>
          </w:p>
          <w:p w:rsidR="00276025" w:rsidRPr="006A1E48" w:rsidRDefault="00276025" w:rsidP="00AE3A9D">
            <w:pPr>
              <w:snapToGrid w:val="0"/>
              <w:spacing w:beforeLines="50" w:before="180"/>
              <w:jc w:val="right"/>
              <w:rPr>
                <w:rFonts w:ascii="Times New Roman" w:eastAsia="標楷體" w:hAnsi="Times New Roman"/>
                <w:szCs w:val="24"/>
              </w:rPr>
            </w:pPr>
            <w:r w:rsidRPr="006A1E48">
              <w:rPr>
                <w:rFonts w:ascii="Times New Roman" w:eastAsia="標楷體" w:hAnsi="標楷體"/>
                <w:szCs w:val="24"/>
              </w:rPr>
              <w:t>單位：度電</w:t>
            </w:r>
            <w:r w:rsidRPr="006A1E48">
              <w:rPr>
                <w:rFonts w:ascii="Times New Roman" w:eastAsia="標楷體" w:hAnsi="Times New Roman"/>
                <w:szCs w:val="24"/>
              </w:rPr>
              <w:t>/</w:t>
            </w:r>
            <w:r w:rsidRPr="006A1E48">
              <w:rPr>
                <w:rFonts w:ascii="Times New Roman" w:eastAsia="標楷體" w:hAnsi="標楷體"/>
                <w:szCs w:val="24"/>
              </w:rPr>
              <w:t>投入基板面積</w:t>
            </w:r>
            <w:r w:rsidRPr="006A1E48">
              <w:rPr>
                <w:rFonts w:ascii="Times New Roman" w:eastAsia="標楷體" w:hAnsi="Times New Roman"/>
                <w:szCs w:val="24"/>
              </w:rPr>
              <w:t>-</w:t>
            </w:r>
            <w:r w:rsidRPr="006A1E48">
              <w:rPr>
                <w:rFonts w:ascii="Times New Roman" w:eastAsia="標楷體" w:hAnsi="標楷體" w:hint="eastAsia"/>
                <w:szCs w:val="24"/>
              </w:rPr>
              <w:t>平方公尺</w:t>
            </w: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843"/>
              <w:gridCol w:w="3544"/>
            </w:tblGrid>
            <w:tr w:rsidR="006A1E48" w:rsidRPr="006A1E48" w:rsidTr="00262B39">
              <w:tc>
                <w:tcPr>
                  <w:tcW w:w="2013" w:type="dxa"/>
                </w:tcPr>
                <w:p w:rsidR="00276025" w:rsidRPr="006A1E48" w:rsidRDefault="00276025" w:rsidP="00380116">
                  <w:pPr>
                    <w:snapToGrid w:val="0"/>
                    <w:rPr>
                      <w:rFonts w:ascii="Times New Roman" w:eastAsia="標楷體" w:hAnsi="Times New Roman"/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76025" w:rsidRPr="006A1E48" w:rsidRDefault="00276025" w:rsidP="00186FE7">
                  <w:pPr>
                    <w:snapToGrid w:val="0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sz w:val="28"/>
                      <w:szCs w:val="24"/>
                    </w:rPr>
                    <w:t>5</w:t>
                  </w:r>
                  <w:r w:rsidRPr="006A1E48">
                    <w:rPr>
                      <w:rFonts w:ascii="Times New Roman" w:eastAsia="標楷體" w:hAnsi="標楷體"/>
                      <w:sz w:val="28"/>
                      <w:szCs w:val="24"/>
                    </w:rPr>
                    <w:t>代廠以下</w:t>
                  </w:r>
                  <w:r w:rsidR="00186FE7" w:rsidRPr="006A1E48">
                    <w:rPr>
                      <w:rFonts w:ascii="Times New Roman" w:eastAsia="標楷體" w:hAnsi="Times New Roman"/>
                      <w:kern w:val="0"/>
                      <w:sz w:val="28"/>
                      <w:szCs w:val="24"/>
                      <w:vertAlign w:val="superscript"/>
                    </w:rPr>
                    <w:t>註</w:t>
                  </w:r>
                  <w:r w:rsidR="00186FE7" w:rsidRPr="006A1E48">
                    <w:rPr>
                      <w:rFonts w:ascii="Times New Roman" w:eastAsia="標楷體" w:hAnsi="Times New Roman"/>
                      <w:kern w:val="0"/>
                      <w:szCs w:val="24"/>
                      <w:vertAlign w:val="superscript"/>
                    </w:rPr>
                    <w:t>1</w:t>
                  </w:r>
                  <w:r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76025" w:rsidRPr="006A1E48" w:rsidRDefault="00276025" w:rsidP="00186FE7">
                  <w:pPr>
                    <w:snapToGrid w:val="0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sz w:val="28"/>
                      <w:szCs w:val="24"/>
                    </w:rPr>
                    <w:t>5.5</w:t>
                  </w:r>
                  <w:r w:rsidRPr="006A1E48">
                    <w:rPr>
                      <w:rFonts w:ascii="Times New Roman" w:eastAsia="標楷體" w:hAnsi="標楷體"/>
                      <w:sz w:val="28"/>
                      <w:szCs w:val="24"/>
                    </w:rPr>
                    <w:t>代廠至</w:t>
                  </w:r>
                  <w:r w:rsidRPr="006A1E48">
                    <w:rPr>
                      <w:rFonts w:ascii="Times New Roman" w:eastAsia="標楷體" w:hAnsi="Times New Roman"/>
                      <w:sz w:val="28"/>
                      <w:szCs w:val="24"/>
                    </w:rPr>
                    <w:t>8</w:t>
                  </w:r>
                  <w:r w:rsidRPr="006A1E48">
                    <w:rPr>
                      <w:rFonts w:ascii="Times New Roman" w:eastAsia="標楷體" w:hAnsi="標楷體"/>
                      <w:sz w:val="28"/>
                      <w:szCs w:val="24"/>
                    </w:rPr>
                    <w:t>代廠以下</w:t>
                  </w:r>
                  <w:r w:rsidR="00186FE7" w:rsidRPr="006A1E48">
                    <w:rPr>
                      <w:rFonts w:ascii="Times New Roman" w:eastAsia="標楷體" w:hAnsi="Times New Roman"/>
                      <w:kern w:val="0"/>
                      <w:sz w:val="28"/>
                      <w:szCs w:val="24"/>
                      <w:vertAlign w:val="superscript"/>
                    </w:rPr>
                    <w:t>註</w:t>
                  </w:r>
                  <w:r w:rsidR="00186FE7" w:rsidRPr="006A1E48">
                    <w:rPr>
                      <w:rFonts w:ascii="Times New Roman" w:eastAsia="標楷體" w:hAnsi="Times New Roman"/>
                      <w:kern w:val="0"/>
                      <w:szCs w:val="24"/>
                      <w:vertAlign w:val="superscript"/>
                    </w:rPr>
                    <w:t>1</w:t>
                  </w:r>
                  <w:r w:rsidR="00186FE7" w:rsidRPr="006A1E48">
                    <w:rPr>
                      <w:rFonts w:ascii="Times New Roman" w:eastAsia="標楷體" w:hAnsi="Times New Roman"/>
                      <w:bCs/>
                      <w:sz w:val="28"/>
                      <w:szCs w:val="24"/>
                      <w:vertAlign w:val="superscript"/>
                    </w:rPr>
                    <w:t xml:space="preserve"> </w:t>
                  </w:r>
                </w:p>
              </w:tc>
            </w:tr>
            <w:tr w:rsidR="006A1E48" w:rsidRPr="006A1E48" w:rsidTr="00262B39">
              <w:trPr>
                <w:trHeight w:val="453"/>
              </w:trPr>
              <w:tc>
                <w:tcPr>
                  <w:tcW w:w="2013" w:type="dxa"/>
                </w:tcPr>
                <w:p w:rsidR="00276025" w:rsidRPr="006A1E48" w:rsidRDefault="00276025" w:rsidP="00380116">
                  <w:pPr>
                    <w:snapToGrid w:val="0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標楷體"/>
                      <w:sz w:val="28"/>
                      <w:szCs w:val="24"/>
                    </w:rPr>
                    <w:t>能源使用強度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6025" w:rsidRPr="006A1E48" w:rsidRDefault="00276025" w:rsidP="00380116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sz w:val="28"/>
                      <w:szCs w:val="24"/>
                    </w:rPr>
                    <w:t>148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76025" w:rsidRPr="006A1E48" w:rsidRDefault="00276025" w:rsidP="00380116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8"/>
                      <w:szCs w:val="24"/>
                    </w:rPr>
                  </w:pPr>
                  <w:r w:rsidRPr="006A1E48">
                    <w:rPr>
                      <w:rFonts w:ascii="Times New Roman" w:eastAsia="標楷體" w:hAnsi="Times New Roman"/>
                      <w:sz w:val="28"/>
                      <w:szCs w:val="24"/>
                    </w:rPr>
                    <w:t>110</w:t>
                  </w:r>
                </w:p>
              </w:tc>
            </w:tr>
          </w:tbl>
          <w:p w:rsidR="00276025" w:rsidRPr="006A1E48" w:rsidRDefault="00276025" w:rsidP="00380116">
            <w:pPr>
              <w:snapToGrid w:val="0"/>
              <w:ind w:left="636" w:hangingChars="265" w:hanging="636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Cs w:val="24"/>
              </w:rPr>
              <w:t>註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1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：適用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非晶性（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amorphous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LCD 5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道以下光罩之製程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且薄膜電晶體元件陣列（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TFT-Array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）基板及彩色濾光片（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Color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 xml:space="preserve"> filter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，簡稱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CF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實際月投片量兩者均達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120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K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（千片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)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以上。</w:t>
            </w:r>
          </w:p>
          <w:p w:rsidR="00276025" w:rsidRPr="006A1E48" w:rsidRDefault="00276025" w:rsidP="00380116">
            <w:pPr>
              <w:snapToGrid w:val="0"/>
              <w:ind w:left="636" w:hangingChars="265" w:hanging="636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Cs w:val="24"/>
              </w:rPr>
              <w:t>註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2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：因法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規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限制、專利權保護、國際貿易障礙或其他不可歸責於申請者申請人等因素，致不能符合者，經提出資料佐證，不受其限制。</w:t>
            </w:r>
          </w:p>
          <w:p w:rsidR="00276025" w:rsidRPr="006A1E48" w:rsidRDefault="00276025" w:rsidP="00380116">
            <w:pPr>
              <w:snapToGrid w:val="0"/>
              <w:ind w:left="636" w:hangingChars="265" w:hanging="636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6A1E48">
              <w:rPr>
                <w:rFonts w:ascii="Times New Roman" w:eastAsia="標楷體" w:hAnsi="標楷體"/>
                <w:kern w:val="0"/>
                <w:szCs w:val="24"/>
              </w:rPr>
              <w:t>註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3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：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能源使用強度計算公式：</w:t>
            </w:r>
          </w:p>
          <w:p w:rsidR="00276025" w:rsidRPr="006A1E48" w:rsidRDefault="00276025" w:rsidP="00380116">
            <w:pPr>
              <w:snapToGrid w:val="0"/>
              <w:ind w:left="742" w:hangingChars="265" w:hanging="742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 w:hint="eastAsia"/>
                <w:noProof/>
                <w:kern w:val="0"/>
                <w:sz w:val="28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AFEF5B4" wp14:editId="2224FB6B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31115</wp:posOffset>
                  </wp:positionV>
                  <wp:extent cx="3996055" cy="504825"/>
                  <wp:effectExtent l="0" t="0" r="4445" b="0"/>
                  <wp:wrapTight wrapText="bothSides">
                    <wp:wrapPolygon edited="0">
                      <wp:start x="7723" y="815"/>
                      <wp:lineTo x="309" y="7336"/>
                      <wp:lineTo x="309" y="13857"/>
                      <wp:lineTo x="6693" y="15487"/>
                      <wp:lineTo x="6796" y="18747"/>
                      <wp:lineTo x="20079" y="18747"/>
                      <wp:lineTo x="20182" y="15487"/>
                      <wp:lineTo x="21521" y="11411"/>
                      <wp:lineTo x="21521" y="9781"/>
                      <wp:lineTo x="19976" y="815"/>
                      <wp:lineTo x="7723" y="815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6025" w:rsidRPr="006A1E48" w:rsidRDefault="00276025" w:rsidP="00380116">
            <w:pPr>
              <w:snapToGrid w:val="0"/>
              <w:ind w:left="742" w:hangingChars="265" w:hanging="742"/>
              <w:rPr>
                <w:rFonts w:ascii="Times New Roman" w:eastAsia="標楷體" w:hAnsi="標楷體"/>
                <w:kern w:val="0"/>
                <w:sz w:val="28"/>
                <w:szCs w:val="24"/>
              </w:rPr>
            </w:pPr>
          </w:p>
          <w:p w:rsidR="00276025" w:rsidRPr="006A1E48" w:rsidRDefault="00276025" w:rsidP="00380116">
            <w:pPr>
              <w:snapToGrid w:val="0"/>
              <w:ind w:leftChars="294" w:left="706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</w:p>
          <w:p w:rsidR="00276025" w:rsidRPr="006A1E48" w:rsidRDefault="00276025" w:rsidP="00380116">
            <w:pPr>
              <w:snapToGrid w:val="0"/>
              <w:ind w:leftChars="282" w:left="677"/>
              <w:jc w:val="both"/>
              <w:rPr>
                <w:rFonts w:ascii="Times New Roman" w:eastAsia="標楷體" w:hAnsi="Times New Roman"/>
                <w:i/>
                <w:kern w:val="0"/>
                <w:sz w:val="28"/>
                <w:szCs w:val="24"/>
              </w:rPr>
            </w:pP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前述相同世代玻璃基板年投入面積，指各尺寸基板及彩色濾光片面積（平方公尺</w:t>
            </w:r>
            <w:r w:rsidRPr="006A1E48">
              <w:rPr>
                <w:rFonts w:ascii="Times New Roman" w:eastAsia="標楷體" w:hAnsi="標楷體"/>
                <w:kern w:val="0"/>
                <w:szCs w:val="24"/>
              </w:rPr>
              <w:t>/</w:t>
            </w:r>
            <w:r w:rsidRPr="006A1E48">
              <w:rPr>
                <w:rFonts w:ascii="Times New Roman" w:eastAsia="標楷體" w:hAnsi="標楷體" w:hint="eastAsia"/>
                <w:kern w:val="0"/>
                <w:szCs w:val="24"/>
              </w:rPr>
              <w:t>片）×各尺寸基板投入片數（片）。</w:t>
            </w:r>
          </w:p>
        </w:tc>
      </w:tr>
    </w:tbl>
    <w:p w:rsidR="009871F6" w:rsidRPr="006A1E48" w:rsidRDefault="009871F6" w:rsidP="00EF0F6B">
      <w:pPr>
        <w:adjustRightInd w:val="0"/>
        <w:snapToGrid w:val="0"/>
        <w:spacing w:line="460" w:lineRule="exact"/>
        <w:ind w:leftChars="5" w:left="1132" w:rightChars="32" w:right="77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</w:p>
    <w:p w:rsidR="00347A19" w:rsidRPr="006A1E48" w:rsidRDefault="00347A19"/>
    <w:sectPr w:rsidR="00347A19" w:rsidRPr="006A1E48" w:rsidSect="00436DAD">
      <w:footerReference w:type="even" r:id="rId61"/>
      <w:footerReference w:type="default" r:id="rId6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46" w:rsidRDefault="00A33046" w:rsidP="00B82B9C">
      <w:r>
        <w:separator/>
      </w:r>
    </w:p>
  </w:endnote>
  <w:endnote w:type="continuationSeparator" w:id="0">
    <w:p w:rsidR="00A33046" w:rsidRDefault="00A33046" w:rsidP="00B8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3FD" w:rsidRDefault="002103FD" w:rsidP="002103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03FD" w:rsidRDefault="002103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3FD" w:rsidRDefault="002103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0E8E" w:rsidRPr="00980E8E">
      <w:rPr>
        <w:noProof/>
        <w:lang w:val="zh-TW"/>
      </w:rPr>
      <w:t>1</w:t>
    </w:r>
    <w:r>
      <w:fldChar w:fldCharType="end"/>
    </w:r>
  </w:p>
  <w:p w:rsidR="002103FD" w:rsidRDefault="002103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46" w:rsidRDefault="00A33046" w:rsidP="00B82B9C">
      <w:r>
        <w:separator/>
      </w:r>
    </w:p>
  </w:footnote>
  <w:footnote w:type="continuationSeparator" w:id="0">
    <w:p w:rsidR="00A33046" w:rsidRDefault="00A33046" w:rsidP="00B8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3BE"/>
    <w:multiLevelType w:val="hybridMultilevel"/>
    <w:tmpl w:val="9BD01A9E"/>
    <w:lvl w:ilvl="0" w:tplc="3E3291FA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">
    <w:nsid w:val="1647453E"/>
    <w:multiLevelType w:val="hybridMultilevel"/>
    <w:tmpl w:val="397460E8"/>
    <w:lvl w:ilvl="0" w:tplc="04090015">
      <w:start w:val="1"/>
      <w:numFmt w:val="taiwaneseCountingThousand"/>
      <w:lvlText w:val="%1、"/>
      <w:lvlJc w:val="left"/>
      <w:pPr>
        <w:ind w:left="21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2" w:hanging="480"/>
      </w:pPr>
    </w:lvl>
    <w:lvl w:ilvl="2" w:tplc="0409001B" w:tentative="1">
      <w:start w:val="1"/>
      <w:numFmt w:val="lowerRoman"/>
      <w:lvlText w:val="%3."/>
      <w:lvlJc w:val="right"/>
      <w:pPr>
        <w:ind w:left="3152" w:hanging="480"/>
      </w:pPr>
    </w:lvl>
    <w:lvl w:ilvl="3" w:tplc="0409000F" w:tentative="1">
      <w:start w:val="1"/>
      <w:numFmt w:val="decimal"/>
      <w:lvlText w:val="%4."/>
      <w:lvlJc w:val="left"/>
      <w:pPr>
        <w:ind w:left="3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2" w:hanging="480"/>
      </w:pPr>
    </w:lvl>
    <w:lvl w:ilvl="5" w:tplc="0409001B" w:tentative="1">
      <w:start w:val="1"/>
      <w:numFmt w:val="lowerRoman"/>
      <w:lvlText w:val="%6."/>
      <w:lvlJc w:val="right"/>
      <w:pPr>
        <w:ind w:left="4592" w:hanging="480"/>
      </w:pPr>
    </w:lvl>
    <w:lvl w:ilvl="6" w:tplc="0409000F" w:tentative="1">
      <w:start w:val="1"/>
      <w:numFmt w:val="decimal"/>
      <w:lvlText w:val="%7."/>
      <w:lvlJc w:val="left"/>
      <w:pPr>
        <w:ind w:left="5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2" w:hanging="480"/>
      </w:pPr>
    </w:lvl>
    <w:lvl w:ilvl="8" w:tplc="0409001B" w:tentative="1">
      <w:start w:val="1"/>
      <w:numFmt w:val="lowerRoman"/>
      <w:lvlText w:val="%9."/>
      <w:lvlJc w:val="right"/>
      <w:pPr>
        <w:ind w:left="6032" w:hanging="480"/>
      </w:pPr>
    </w:lvl>
  </w:abstractNum>
  <w:abstractNum w:abstractNumId="2">
    <w:nsid w:val="1EE02EF4"/>
    <w:multiLevelType w:val="hybridMultilevel"/>
    <w:tmpl w:val="ABB003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6829F5"/>
    <w:multiLevelType w:val="hybridMultilevel"/>
    <w:tmpl w:val="A7D055A8"/>
    <w:lvl w:ilvl="0" w:tplc="02F0FB6A">
      <w:start w:val="1"/>
      <w:numFmt w:val="decimal"/>
      <w:lvlText w:val="%1."/>
      <w:lvlJc w:val="left"/>
      <w:pPr>
        <w:ind w:left="480" w:hanging="480"/>
      </w:pPr>
      <w:rPr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5512ED"/>
    <w:multiLevelType w:val="hybridMultilevel"/>
    <w:tmpl w:val="D968172A"/>
    <w:lvl w:ilvl="0" w:tplc="E46C8EB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F85706"/>
    <w:multiLevelType w:val="hybridMultilevel"/>
    <w:tmpl w:val="CE42711E"/>
    <w:lvl w:ilvl="0" w:tplc="02F0FB6A">
      <w:start w:val="1"/>
      <w:numFmt w:val="decimal"/>
      <w:lvlText w:val="%1."/>
      <w:lvlJc w:val="left"/>
      <w:pPr>
        <w:ind w:left="480" w:hanging="480"/>
      </w:pPr>
      <w:rPr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CA510A"/>
    <w:multiLevelType w:val="hybridMultilevel"/>
    <w:tmpl w:val="E3F246D8"/>
    <w:lvl w:ilvl="0" w:tplc="411C5F28">
      <w:start w:val="1"/>
      <w:numFmt w:val="taiwaneseCountingThousand"/>
      <w:lvlText w:val="%1、"/>
      <w:lvlJc w:val="left"/>
      <w:pPr>
        <w:ind w:left="241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7">
    <w:nsid w:val="48146007"/>
    <w:multiLevelType w:val="hybridMultilevel"/>
    <w:tmpl w:val="24402C60"/>
    <w:lvl w:ilvl="0" w:tplc="4D7269A4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8">
    <w:nsid w:val="52764B52"/>
    <w:multiLevelType w:val="hybridMultilevel"/>
    <w:tmpl w:val="E1FAC5BC"/>
    <w:lvl w:ilvl="0" w:tplc="FB4C216E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32BA9924">
      <w:start w:val="1"/>
      <w:numFmt w:val="taiwaneseCountingThousand"/>
      <w:lvlText w:val="（%2）"/>
      <w:lvlJc w:val="left"/>
      <w:pPr>
        <w:ind w:left="25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9">
    <w:nsid w:val="5E8F4C89"/>
    <w:multiLevelType w:val="hybridMultilevel"/>
    <w:tmpl w:val="BE7AC9BE"/>
    <w:lvl w:ilvl="0" w:tplc="04090015">
      <w:start w:val="1"/>
      <w:numFmt w:val="taiwaneseCountingThousand"/>
      <w:lvlText w:val="%1、"/>
      <w:lvlJc w:val="left"/>
      <w:pPr>
        <w:ind w:left="21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5" w:hanging="480"/>
      </w:pPr>
    </w:lvl>
    <w:lvl w:ilvl="2" w:tplc="0409001B" w:tentative="1">
      <w:start w:val="1"/>
      <w:numFmt w:val="lowerRoman"/>
      <w:lvlText w:val="%3."/>
      <w:lvlJc w:val="right"/>
      <w:pPr>
        <w:ind w:left="3125" w:hanging="480"/>
      </w:pPr>
    </w:lvl>
    <w:lvl w:ilvl="3" w:tplc="0409000F" w:tentative="1">
      <w:start w:val="1"/>
      <w:numFmt w:val="decimal"/>
      <w:lvlText w:val="%4."/>
      <w:lvlJc w:val="left"/>
      <w:pPr>
        <w:ind w:left="3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5" w:hanging="480"/>
      </w:pPr>
    </w:lvl>
    <w:lvl w:ilvl="5" w:tplc="0409001B" w:tentative="1">
      <w:start w:val="1"/>
      <w:numFmt w:val="lowerRoman"/>
      <w:lvlText w:val="%6."/>
      <w:lvlJc w:val="right"/>
      <w:pPr>
        <w:ind w:left="4565" w:hanging="480"/>
      </w:pPr>
    </w:lvl>
    <w:lvl w:ilvl="6" w:tplc="0409000F" w:tentative="1">
      <w:start w:val="1"/>
      <w:numFmt w:val="decimal"/>
      <w:lvlText w:val="%7."/>
      <w:lvlJc w:val="left"/>
      <w:pPr>
        <w:ind w:left="5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5" w:hanging="480"/>
      </w:pPr>
    </w:lvl>
    <w:lvl w:ilvl="8" w:tplc="0409001B" w:tentative="1">
      <w:start w:val="1"/>
      <w:numFmt w:val="lowerRoman"/>
      <w:lvlText w:val="%9."/>
      <w:lvlJc w:val="right"/>
      <w:pPr>
        <w:ind w:left="6005" w:hanging="480"/>
      </w:pPr>
    </w:lvl>
  </w:abstractNum>
  <w:abstractNum w:abstractNumId="10">
    <w:nsid w:val="604D4557"/>
    <w:multiLevelType w:val="hybridMultilevel"/>
    <w:tmpl w:val="ABB003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CA2537"/>
    <w:multiLevelType w:val="hybridMultilevel"/>
    <w:tmpl w:val="C56C70FA"/>
    <w:lvl w:ilvl="0" w:tplc="84F05E8E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2">
    <w:nsid w:val="6B21322E"/>
    <w:multiLevelType w:val="hybridMultilevel"/>
    <w:tmpl w:val="09B24F30"/>
    <w:lvl w:ilvl="0" w:tplc="BDD40D82">
      <w:start w:val="1"/>
      <w:numFmt w:val="taiwaneseCountingThousand"/>
      <w:lvlText w:val="%1、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 w:numId="13">
    <w:abstractNumId w:val="1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-Yin Tu">
    <w15:presenceInfo w15:providerId="Windows Live" w15:userId="b8e0cfb8d5ff7b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4D"/>
    <w:rsid w:val="00011E6C"/>
    <w:rsid w:val="000131A8"/>
    <w:rsid w:val="00023D6A"/>
    <w:rsid w:val="00034086"/>
    <w:rsid w:val="0003796A"/>
    <w:rsid w:val="00051CDD"/>
    <w:rsid w:val="000531F9"/>
    <w:rsid w:val="0006458A"/>
    <w:rsid w:val="00065969"/>
    <w:rsid w:val="00066E03"/>
    <w:rsid w:val="00070098"/>
    <w:rsid w:val="00086F41"/>
    <w:rsid w:val="000A7948"/>
    <w:rsid w:val="000A7ECA"/>
    <w:rsid w:val="000B23BE"/>
    <w:rsid w:val="000B7151"/>
    <w:rsid w:val="000C5AB7"/>
    <w:rsid w:val="001150AD"/>
    <w:rsid w:val="00115ED5"/>
    <w:rsid w:val="00120DEC"/>
    <w:rsid w:val="001379BA"/>
    <w:rsid w:val="001405B0"/>
    <w:rsid w:val="001572FE"/>
    <w:rsid w:val="001609CF"/>
    <w:rsid w:val="00161381"/>
    <w:rsid w:val="001628E5"/>
    <w:rsid w:val="00163F74"/>
    <w:rsid w:val="00165FF2"/>
    <w:rsid w:val="00176A72"/>
    <w:rsid w:val="00186FE7"/>
    <w:rsid w:val="001B632F"/>
    <w:rsid w:val="001C13F3"/>
    <w:rsid w:val="001D103D"/>
    <w:rsid w:val="001D59E7"/>
    <w:rsid w:val="001E39C7"/>
    <w:rsid w:val="001E4638"/>
    <w:rsid w:val="001F1AB6"/>
    <w:rsid w:val="001F2F43"/>
    <w:rsid w:val="00201185"/>
    <w:rsid w:val="002103FD"/>
    <w:rsid w:val="002109B2"/>
    <w:rsid w:val="00210DB6"/>
    <w:rsid w:val="00211F8A"/>
    <w:rsid w:val="00217D11"/>
    <w:rsid w:val="0022213B"/>
    <w:rsid w:val="00223AF8"/>
    <w:rsid w:val="00226D31"/>
    <w:rsid w:val="0023591F"/>
    <w:rsid w:val="0024507C"/>
    <w:rsid w:val="00251A53"/>
    <w:rsid w:val="00261B7A"/>
    <w:rsid w:val="00262B39"/>
    <w:rsid w:val="002753A9"/>
    <w:rsid w:val="00276025"/>
    <w:rsid w:val="002871E3"/>
    <w:rsid w:val="002911FA"/>
    <w:rsid w:val="00294186"/>
    <w:rsid w:val="002973D7"/>
    <w:rsid w:val="002973E8"/>
    <w:rsid w:val="002A3403"/>
    <w:rsid w:val="002A4140"/>
    <w:rsid w:val="002A4B8F"/>
    <w:rsid w:val="002A53A6"/>
    <w:rsid w:val="002B15AB"/>
    <w:rsid w:val="002B4D66"/>
    <w:rsid w:val="002D153E"/>
    <w:rsid w:val="002D3856"/>
    <w:rsid w:val="002D4A81"/>
    <w:rsid w:val="002E1DFA"/>
    <w:rsid w:val="002E284C"/>
    <w:rsid w:val="002E5ED9"/>
    <w:rsid w:val="002F3181"/>
    <w:rsid w:val="002F5421"/>
    <w:rsid w:val="002F768A"/>
    <w:rsid w:val="003020F9"/>
    <w:rsid w:val="00316D52"/>
    <w:rsid w:val="003240DC"/>
    <w:rsid w:val="003265F5"/>
    <w:rsid w:val="00331805"/>
    <w:rsid w:val="00343288"/>
    <w:rsid w:val="00347A19"/>
    <w:rsid w:val="00353CE1"/>
    <w:rsid w:val="003708D5"/>
    <w:rsid w:val="0037122D"/>
    <w:rsid w:val="003717DB"/>
    <w:rsid w:val="003C5D55"/>
    <w:rsid w:val="003C7D06"/>
    <w:rsid w:val="003C7E62"/>
    <w:rsid w:val="003D19B9"/>
    <w:rsid w:val="003D21F2"/>
    <w:rsid w:val="003D23EA"/>
    <w:rsid w:val="003D63EB"/>
    <w:rsid w:val="003D6F78"/>
    <w:rsid w:val="003E3A39"/>
    <w:rsid w:val="003E6A0D"/>
    <w:rsid w:val="003E7DF0"/>
    <w:rsid w:val="003F615D"/>
    <w:rsid w:val="00402DC6"/>
    <w:rsid w:val="00404D27"/>
    <w:rsid w:val="004057FC"/>
    <w:rsid w:val="004133C1"/>
    <w:rsid w:val="00415438"/>
    <w:rsid w:val="004333F7"/>
    <w:rsid w:val="00436DAD"/>
    <w:rsid w:val="00441BBD"/>
    <w:rsid w:val="00456F7B"/>
    <w:rsid w:val="00457A24"/>
    <w:rsid w:val="00460E94"/>
    <w:rsid w:val="00464FFD"/>
    <w:rsid w:val="00477E93"/>
    <w:rsid w:val="00490930"/>
    <w:rsid w:val="00490B9F"/>
    <w:rsid w:val="004949CA"/>
    <w:rsid w:val="004A1E05"/>
    <w:rsid w:val="004A6803"/>
    <w:rsid w:val="004B3738"/>
    <w:rsid w:val="004B5131"/>
    <w:rsid w:val="004C3F1B"/>
    <w:rsid w:val="004D4FF7"/>
    <w:rsid w:val="004D79EC"/>
    <w:rsid w:val="004E5048"/>
    <w:rsid w:val="004F0A13"/>
    <w:rsid w:val="004F1F95"/>
    <w:rsid w:val="004F52E5"/>
    <w:rsid w:val="004F54AD"/>
    <w:rsid w:val="0052172B"/>
    <w:rsid w:val="00524503"/>
    <w:rsid w:val="00542327"/>
    <w:rsid w:val="00551AFA"/>
    <w:rsid w:val="005605A7"/>
    <w:rsid w:val="005605ED"/>
    <w:rsid w:val="0056264C"/>
    <w:rsid w:val="005667F1"/>
    <w:rsid w:val="005752A5"/>
    <w:rsid w:val="0058501B"/>
    <w:rsid w:val="005B4816"/>
    <w:rsid w:val="005B7574"/>
    <w:rsid w:val="005B7D0F"/>
    <w:rsid w:val="005C6199"/>
    <w:rsid w:val="005C7D5C"/>
    <w:rsid w:val="005D0BDB"/>
    <w:rsid w:val="005D41D2"/>
    <w:rsid w:val="005E01DA"/>
    <w:rsid w:val="005E0964"/>
    <w:rsid w:val="005E3E4D"/>
    <w:rsid w:val="005F0443"/>
    <w:rsid w:val="005F2DD0"/>
    <w:rsid w:val="00611236"/>
    <w:rsid w:val="006124E0"/>
    <w:rsid w:val="006273CB"/>
    <w:rsid w:val="00632522"/>
    <w:rsid w:val="00647B7A"/>
    <w:rsid w:val="00654FCC"/>
    <w:rsid w:val="00655A6F"/>
    <w:rsid w:val="006866F6"/>
    <w:rsid w:val="006A1E48"/>
    <w:rsid w:val="006A4AF5"/>
    <w:rsid w:val="006A661E"/>
    <w:rsid w:val="006C00C4"/>
    <w:rsid w:val="006D1C7F"/>
    <w:rsid w:val="006D56B5"/>
    <w:rsid w:val="006E34C4"/>
    <w:rsid w:val="006E4D16"/>
    <w:rsid w:val="006E79D2"/>
    <w:rsid w:val="0070050E"/>
    <w:rsid w:val="00707930"/>
    <w:rsid w:val="00714286"/>
    <w:rsid w:val="0071440C"/>
    <w:rsid w:val="0071580A"/>
    <w:rsid w:val="00727D9B"/>
    <w:rsid w:val="007328B9"/>
    <w:rsid w:val="00752129"/>
    <w:rsid w:val="00757B18"/>
    <w:rsid w:val="00775475"/>
    <w:rsid w:val="00775AF2"/>
    <w:rsid w:val="00781D0B"/>
    <w:rsid w:val="007863CF"/>
    <w:rsid w:val="00786F67"/>
    <w:rsid w:val="00792F35"/>
    <w:rsid w:val="00793BA7"/>
    <w:rsid w:val="007B5DB0"/>
    <w:rsid w:val="007E368B"/>
    <w:rsid w:val="007E3C52"/>
    <w:rsid w:val="007F186A"/>
    <w:rsid w:val="007F2FE0"/>
    <w:rsid w:val="008121C5"/>
    <w:rsid w:val="0081711C"/>
    <w:rsid w:val="00823D9E"/>
    <w:rsid w:val="00825D32"/>
    <w:rsid w:val="0083377F"/>
    <w:rsid w:val="00833F0A"/>
    <w:rsid w:val="008503CF"/>
    <w:rsid w:val="008567DA"/>
    <w:rsid w:val="008664D7"/>
    <w:rsid w:val="0087035D"/>
    <w:rsid w:val="0087356A"/>
    <w:rsid w:val="00876772"/>
    <w:rsid w:val="00884EBC"/>
    <w:rsid w:val="00895EE7"/>
    <w:rsid w:val="008A04F1"/>
    <w:rsid w:val="008A3F73"/>
    <w:rsid w:val="008A6E7E"/>
    <w:rsid w:val="008B5823"/>
    <w:rsid w:val="008D3A43"/>
    <w:rsid w:val="008E09BA"/>
    <w:rsid w:val="008E20B2"/>
    <w:rsid w:val="008E3A03"/>
    <w:rsid w:val="008E5E94"/>
    <w:rsid w:val="008F0659"/>
    <w:rsid w:val="008F348F"/>
    <w:rsid w:val="008F5054"/>
    <w:rsid w:val="008F7CB0"/>
    <w:rsid w:val="00900271"/>
    <w:rsid w:val="00904AE6"/>
    <w:rsid w:val="0091216C"/>
    <w:rsid w:val="00917538"/>
    <w:rsid w:val="0093093C"/>
    <w:rsid w:val="009311C6"/>
    <w:rsid w:val="00931718"/>
    <w:rsid w:val="009349DC"/>
    <w:rsid w:val="00945CE2"/>
    <w:rsid w:val="0096236E"/>
    <w:rsid w:val="009764E3"/>
    <w:rsid w:val="00980E8E"/>
    <w:rsid w:val="00981112"/>
    <w:rsid w:val="009871F6"/>
    <w:rsid w:val="00992BEB"/>
    <w:rsid w:val="00995A58"/>
    <w:rsid w:val="009A2277"/>
    <w:rsid w:val="009A4203"/>
    <w:rsid w:val="009B5B7E"/>
    <w:rsid w:val="009C0960"/>
    <w:rsid w:val="009C0CFA"/>
    <w:rsid w:val="009C1975"/>
    <w:rsid w:val="009C37AA"/>
    <w:rsid w:val="009E5596"/>
    <w:rsid w:val="009E760C"/>
    <w:rsid w:val="009F2E84"/>
    <w:rsid w:val="009F4A55"/>
    <w:rsid w:val="009F722B"/>
    <w:rsid w:val="00A041E9"/>
    <w:rsid w:val="00A13BF1"/>
    <w:rsid w:val="00A31FA8"/>
    <w:rsid w:val="00A33046"/>
    <w:rsid w:val="00A417FF"/>
    <w:rsid w:val="00A45D50"/>
    <w:rsid w:val="00A46BB9"/>
    <w:rsid w:val="00A504D5"/>
    <w:rsid w:val="00A55036"/>
    <w:rsid w:val="00A5642D"/>
    <w:rsid w:val="00A6009B"/>
    <w:rsid w:val="00A66845"/>
    <w:rsid w:val="00A72766"/>
    <w:rsid w:val="00A81204"/>
    <w:rsid w:val="00A901F5"/>
    <w:rsid w:val="00A966A1"/>
    <w:rsid w:val="00A96F5A"/>
    <w:rsid w:val="00AA01C7"/>
    <w:rsid w:val="00AA3186"/>
    <w:rsid w:val="00AB03DB"/>
    <w:rsid w:val="00AB178C"/>
    <w:rsid w:val="00AB587A"/>
    <w:rsid w:val="00AB7934"/>
    <w:rsid w:val="00AC4AE4"/>
    <w:rsid w:val="00AD4954"/>
    <w:rsid w:val="00AD6739"/>
    <w:rsid w:val="00AE028D"/>
    <w:rsid w:val="00AE3A9D"/>
    <w:rsid w:val="00AE3B6D"/>
    <w:rsid w:val="00AE5B16"/>
    <w:rsid w:val="00AE78C3"/>
    <w:rsid w:val="00AF1842"/>
    <w:rsid w:val="00B15BAF"/>
    <w:rsid w:val="00B205B6"/>
    <w:rsid w:val="00B22E62"/>
    <w:rsid w:val="00B275D9"/>
    <w:rsid w:val="00B277F0"/>
    <w:rsid w:val="00B34334"/>
    <w:rsid w:val="00B4323A"/>
    <w:rsid w:val="00B6666B"/>
    <w:rsid w:val="00B75A32"/>
    <w:rsid w:val="00B7748B"/>
    <w:rsid w:val="00B82B9C"/>
    <w:rsid w:val="00B83A3E"/>
    <w:rsid w:val="00B95A84"/>
    <w:rsid w:val="00B961A3"/>
    <w:rsid w:val="00BA48CC"/>
    <w:rsid w:val="00BA763E"/>
    <w:rsid w:val="00BB5A12"/>
    <w:rsid w:val="00BB6EC3"/>
    <w:rsid w:val="00BC1549"/>
    <w:rsid w:val="00BC7C99"/>
    <w:rsid w:val="00BE0850"/>
    <w:rsid w:val="00BE5765"/>
    <w:rsid w:val="00BF5AC4"/>
    <w:rsid w:val="00C01267"/>
    <w:rsid w:val="00C178D6"/>
    <w:rsid w:val="00C21CB1"/>
    <w:rsid w:val="00C221F9"/>
    <w:rsid w:val="00C4172C"/>
    <w:rsid w:val="00C52FE7"/>
    <w:rsid w:val="00C542B3"/>
    <w:rsid w:val="00C55935"/>
    <w:rsid w:val="00C6312B"/>
    <w:rsid w:val="00C710BB"/>
    <w:rsid w:val="00C90C92"/>
    <w:rsid w:val="00CA7DF7"/>
    <w:rsid w:val="00CB42FD"/>
    <w:rsid w:val="00CC0C71"/>
    <w:rsid w:val="00CD08EB"/>
    <w:rsid w:val="00CD51D6"/>
    <w:rsid w:val="00CE1C27"/>
    <w:rsid w:val="00CE7A2F"/>
    <w:rsid w:val="00CE7B7C"/>
    <w:rsid w:val="00CF39F3"/>
    <w:rsid w:val="00CF60BA"/>
    <w:rsid w:val="00D065B6"/>
    <w:rsid w:val="00D127D2"/>
    <w:rsid w:val="00D45706"/>
    <w:rsid w:val="00D50B3D"/>
    <w:rsid w:val="00D53FC3"/>
    <w:rsid w:val="00D55FE3"/>
    <w:rsid w:val="00D57C61"/>
    <w:rsid w:val="00D6176C"/>
    <w:rsid w:val="00D628C5"/>
    <w:rsid w:val="00D7031A"/>
    <w:rsid w:val="00D80C25"/>
    <w:rsid w:val="00D828D2"/>
    <w:rsid w:val="00D85A5A"/>
    <w:rsid w:val="00DA2301"/>
    <w:rsid w:val="00DA2F4B"/>
    <w:rsid w:val="00DA4E63"/>
    <w:rsid w:val="00DA59B1"/>
    <w:rsid w:val="00DC5381"/>
    <w:rsid w:val="00DD22DB"/>
    <w:rsid w:val="00DD5EE5"/>
    <w:rsid w:val="00DD61D7"/>
    <w:rsid w:val="00DD7D6E"/>
    <w:rsid w:val="00DE6F1D"/>
    <w:rsid w:val="00DE79C2"/>
    <w:rsid w:val="00DE7F39"/>
    <w:rsid w:val="00DF5E38"/>
    <w:rsid w:val="00E0793D"/>
    <w:rsid w:val="00E13046"/>
    <w:rsid w:val="00E22B58"/>
    <w:rsid w:val="00E26B20"/>
    <w:rsid w:val="00E33A45"/>
    <w:rsid w:val="00E52751"/>
    <w:rsid w:val="00E55A8E"/>
    <w:rsid w:val="00E616AC"/>
    <w:rsid w:val="00E71DEC"/>
    <w:rsid w:val="00E81C0A"/>
    <w:rsid w:val="00E81D96"/>
    <w:rsid w:val="00E90A41"/>
    <w:rsid w:val="00E9694E"/>
    <w:rsid w:val="00EA2D72"/>
    <w:rsid w:val="00EA526F"/>
    <w:rsid w:val="00EB0ECB"/>
    <w:rsid w:val="00EB3172"/>
    <w:rsid w:val="00EC2EEF"/>
    <w:rsid w:val="00EC71B2"/>
    <w:rsid w:val="00EE6196"/>
    <w:rsid w:val="00EE6BE6"/>
    <w:rsid w:val="00EF0F6B"/>
    <w:rsid w:val="00EF2225"/>
    <w:rsid w:val="00F028DF"/>
    <w:rsid w:val="00F26F94"/>
    <w:rsid w:val="00F27039"/>
    <w:rsid w:val="00F339C9"/>
    <w:rsid w:val="00F33A6A"/>
    <w:rsid w:val="00F403E0"/>
    <w:rsid w:val="00F45A6D"/>
    <w:rsid w:val="00F66C22"/>
    <w:rsid w:val="00F734FD"/>
    <w:rsid w:val="00F907BD"/>
    <w:rsid w:val="00FA268E"/>
    <w:rsid w:val="00FB4A99"/>
    <w:rsid w:val="00FB7BDA"/>
    <w:rsid w:val="00FC086B"/>
    <w:rsid w:val="00FC60F8"/>
    <w:rsid w:val="00FD21FC"/>
    <w:rsid w:val="00FE432A"/>
    <w:rsid w:val="00FE5A41"/>
    <w:rsid w:val="00FE6786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2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82B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9C"/>
    <w:rPr>
      <w:sz w:val="20"/>
      <w:szCs w:val="20"/>
    </w:rPr>
  </w:style>
  <w:style w:type="character" w:styleId="a7">
    <w:name w:val="page number"/>
    <w:basedOn w:val="a0"/>
    <w:rsid w:val="00B82B9C"/>
  </w:style>
  <w:style w:type="paragraph" w:styleId="HTML">
    <w:name w:val="HTML Preformatted"/>
    <w:basedOn w:val="a"/>
    <w:link w:val="HTML0"/>
    <w:uiPriority w:val="99"/>
    <w:unhideWhenUsed/>
    <w:rsid w:val="00B82B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B82B9C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8">
    <w:name w:val="Emphasis"/>
    <w:basedOn w:val="a0"/>
    <w:uiPriority w:val="20"/>
    <w:qFormat/>
    <w:rsid w:val="004949CA"/>
    <w:rPr>
      <w:i/>
      <w:iCs/>
    </w:rPr>
  </w:style>
  <w:style w:type="paragraph" w:styleId="a9">
    <w:name w:val="List Paragraph"/>
    <w:basedOn w:val="a"/>
    <w:uiPriority w:val="34"/>
    <w:qFormat/>
    <w:rsid w:val="00B83A3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1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3C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A55036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8767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6772"/>
  </w:style>
  <w:style w:type="character" w:customStyle="1" w:styleId="af">
    <w:name w:val="註解文字 字元"/>
    <w:basedOn w:val="a0"/>
    <w:link w:val="ae"/>
    <w:uiPriority w:val="99"/>
    <w:semiHidden/>
    <w:rsid w:val="00876772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677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76772"/>
    <w:rPr>
      <w:rFonts w:ascii="Calibri" w:eastAsia="新細明體" w:hAnsi="Calibri" w:cs="Times New Roman"/>
      <w:b/>
      <w:bCs/>
    </w:rPr>
  </w:style>
  <w:style w:type="character" w:styleId="af2">
    <w:name w:val="Hyperlink"/>
    <w:uiPriority w:val="99"/>
    <w:unhideWhenUsed/>
    <w:rsid w:val="00276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2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82B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9C"/>
    <w:rPr>
      <w:sz w:val="20"/>
      <w:szCs w:val="20"/>
    </w:rPr>
  </w:style>
  <w:style w:type="character" w:styleId="a7">
    <w:name w:val="page number"/>
    <w:basedOn w:val="a0"/>
    <w:rsid w:val="00B82B9C"/>
  </w:style>
  <w:style w:type="paragraph" w:styleId="HTML">
    <w:name w:val="HTML Preformatted"/>
    <w:basedOn w:val="a"/>
    <w:link w:val="HTML0"/>
    <w:uiPriority w:val="99"/>
    <w:unhideWhenUsed/>
    <w:rsid w:val="00B82B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B82B9C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8">
    <w:name w:val="Emphasis"/>
    <w:basedOn w:val="a0"/>
    <w:uiPriority w:val="20"/>
    <w:qFormat/>
    <w:rsid w:val="004949CA"/>
    <w:rPr>
      <w:i/>
      <w:iCs/>
    </w:rPr>
  </w:style>
  <w:style w:type="paragraph" w:styleId="a9">
    <w:name w:val="List Paragraph"/>
    <w:basedOn w:val="a"/>
    <w:uiPriority w:val="34"/>
    <w:qFormat/>
    <w:rsid w:val="00B83A3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1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3C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A55036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8767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6772"/>
  </w:style>
  <w:style w:type="character" w:customStyle="1" w:styleId="af">
    <w:name w:val="註解文字 字元"/>
    <w:basedOn w:val="a0"/>
    <w:link w:val="ae"/>
    <w:uiPriority w:val="99"/>
    <w:semiHidden/>
    <w:rsid w:val="00876772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677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76772"/>
    <w:rPr>
      <w:rFonts w:ascii="Calibri" w:eastAsia="新細明體" w:hAnsi="Calibri" w:cs="Times New Roman"/>
      <w:b/>
      <w:bCs/>
    </w:rPr>
  </w:style>
  <w:style w:type="character" w:styleId="af2">
    <w:name w:val="Hyperlink"/>
    <w:uiPriority w:val="99"/>
    <w:unhideWhenUsed/>
    <w:rsid w:val="00276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ippcb.jrc.ec.europa.eu/reference/lcp.html" TargetMode="External"/><Relationship Id="rId18" Type="http://schemas.openxmlformats.org/officeDocument/2006/relationships/hyperlink" Target="http://eippcb.jrc.ec.europa.eu/reference/ref.html" TargetMode="External"/><Relationship Id="rId26" Type="http://schemas.openxmlformats.org/officeDocument/2006/relationships/hyperlink" Target="http://eippcb.jrc.ec.europa.eu/reference/BREF/IS_Adopted_03_2012.pdf" TargetMode="External"/><Relationship Id="rId39" Type="http://schemas.openxmlformats.org/officeDocument/2006/relationships/hyperlink" Target="http://eippcb.jrc.ec.europa.eu/reference/cl.html" TargetMode="External"/><Relationship Id="rId21" Type="http://schemas.openxmlformats.org/officeDocument/2006/relationships/hyperlink" Target="http://eippcb.jrc.ec.europa.eu/reference/fmp.html" TargetMode="External"/><Relationship Id="rId34" Type="http://schemas.openxmlformats.org/officeDocument/2006/relationships/hyperlink" Target="http://eippcb.jrc.ec.europa.eu/reference/BREF/GLS_Adopted_03_2012.pdf" TargetMode="External"/><Relationship Id="rId42" Type="http://schemas.openxmlformats.org/officeDocument/2006/relationships/hyperlink" Target="http://eippcb.jrc.ec.europa.eu/reference/pol.html" TargetMode="External"/><Relationship Id="rId47" Type="http://schemas.openxmlformats.org/officeDocument/2006/relationships/hyperlink" Target="http://eippcb.jrc.ec.europa.eu/reference/sa.html" TargetMode="External"/><Relationship Id="rId50" Type="http://schemas.openxmlformats.org/officeDocument/2006/relationships/hyperlink" Target="http://eippcb.jrc.ec.europa.eu/reference/BREF/sf_bref_0505.pdf" TargetMode="External"/><Relationship Id="rId55" Type="http://schemas.openxmlformats.org/officeDocument/2006/relationships/hyperlink" Target="http://eippcb.jrc.ec.europa.eu/reference/tan.html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ippcb.jrc.ec.europa.eu/reference/lcp.html" TargetMode="External"/><Relationship Id="rId20" Type="http://schemas.openxmlformats.org/officeDocument/2006/relationships/hyperlink" Target="http://eippcb.jrc.ec.europa.eu/reference/BREF/cer_bref_0807.pdf" TargetMode="External"/><Relationship Id="rId29" Type="http://schemas.openxmlformats.org/officeDocument/2006/relationships/hyperlink" Target="http://eippcb.jrc.ec.europa.eu/reference/lvic-s.html" TargetMode="External"/><Relationship Id="rId41" Type="http://schemas.openxmlformats.org/officeDocument/2006/relationships/hyperlink" Target="http://eippcb.jrc.ec.europa.eu/reference/cak.html" TargetMode="External"/><Relationship Id="rId54" Type="http://schemas.openxmlformats.org/officeDocument/2006/relationships/hyperlink" Target="http://eippcb.jrc.ec.europa.eu/reference/BREF/sts_bref_0807.pdf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ippcb.jrc.ec.europa.eu/reference/BREF/ENE_Adopted_02-2009.pdf" TargetMode="External"/><Relationship Id="rId24" Type="http://schemas.openxmlformats.org/officeDocument/2006/relationships/hyperlink" Target="http://eippcb.jrc.ec.europa.eu/reference/BREF/fdm_bref_0806.pdf" TargetMode="External"/><Relationship Id="rId32" Type="http://schemas.openxmlformats.org/officeDocument/2006/relationships/hyperlink" Target="http://eippcb.jrc.ec.europa.eu/reference/BREF/lvo_bref_0203.pdf" TargetMode="External"/><Relationship Id="rId37" Type="http://schemas.openxmlformats.org/officeDocument/2006/relationships/hyperlink" Target="http://eippcb.jrc.ec.europa.eu/reference/nfm.html" TargetMode="External"/><Relationship Id="rId40" Type="http://schemas.openxmlformats.org/officeDocument/2006/relationships/hyperlink" Target="http://eippcb.jrc.ec.europa.eu/reference/BREF/CLM_Published_def.pdf" TargetMode="External"/><Relationship Id="rId45" Type="http://schemas.openxmlformats.org/officeDocument/2006/relationships/hyperlink" Target="http://eippcb.jrc.ec.europa.eu/reference/sic.html" TargetMode="External"/><Relationship Id="rId53" Type="http://schemas.openxmlformats.org/officeDocument/2006/relationships/hyperlink" Target="http://eippcb.jrc.ec.europa.eu/reference/sts.html" TargetMode="External"/><Relationship Id="rId58" Type="http://schemas.openxmlformats.org/officeDocument/2006/relationships/hyperlink" Target="http://eippcb.jrc.ec.europa.eu/reference/BREF/txt_bref_070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ippcb.jrc.ec.europa.eu/reference/lcp.html" TargetMode="External"/><Relationship Id="rId23" Type="http://schemas.openxmlformats.org/officeDocument/2006/relationships/hyperlink" Target="http://eippcb.jrc.ec.europa.eu/reference/fdm.html" TargetMode="External"/><Relationship Id="rId28" Type="http://schemas.openxmlformats.org/officeDocument/2006/relationships/hyperlink" Target="http://eippcb.jrc.ec.europa.eu/reference/BREF/lvic_aaf.pdf" TargetMode="External"/><Relationship Id="rId36" Type="http://schemas.openxmlformats.org/officeDocument/2006/relationships/hyperlink" Target="http://eippcb.jrc.ec.europa.eu/reference/BREF/ofc_bref_0806.pdf" TargetMode="External"/><Relationship Id="rId49" Type="http://schemas.openxmlformats.org/officeDocument/2006/relationships/hyperlink" Target="http://eippcb.jrc.ec.europa.eu/reference/sf.html" TargetMode="External"/><Relationship Id="rId57" Type="http://schemas.openxmlformats.org/officeDocument/2006/relationships/hyperlink" Target="http://eippcb.jrc.ec.europa.eu/reference/txt.html" TargetMode="External"/><Relationship Id="rId61" Type="http://schemas.openxmlformats.org/officeDocument/2006/relationships/footer" Target="footer1.xml"/><Relationship Id="rId10" Type="http://schemas.openxmlformats.org/officeDocument/2006/relationships/hyperlink" Target="http://eippcb.jrc.ec.europa.eu/reference/ene.html" TargetMode="External"/><Relationship Id="rId19" Type="http://schemas.openxmlformats.org/officeDocument/2006/relationships/hyperlink" Target="http://eippcb.jrc.ec.europa.eu/reference/BREF/pol_bref_0807.pdf" TargetMode="External"/><Relationship Id="rId31" Type="http://schemas.openxmlformats.org/officeDocument/2006/relationships/hyperlink" Target="http://eippcb.jrc.ec.europa.eu/reference/lvoc.html" TargetMode="External"/><Relationship Id="rId44" Type="http://schemas.openxmlformats.org/officeDocument/2006/relationships/hyperlink" Target="http://eippcb.jrc.ec.europa.eu/reference/BREF/pol_bref_0807.pdf" TargetMode="External"/><Relationship Id="rId52" Type="http://schemas.openxmlformats.org/officeDocument/2006/relationships/hyperlink" Target="http://eippcb.jrc.ec.europa.eu/reference/BREF/stm_bref_0806.pdf" TargetMode="External"/><Relationship Id="rId60" Type="http://schemas.openxmlformats.org/officeDocument/2006/relationships/image" Target="media/image2.png"/><Relationship Id="rId65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ftp://ftp.jrc.es/pub/eippcb/doc/ene_summary_in_bref_series.pdf" TargetMode="External"/><Relationship Id="rId14" Type="http://schemas.openxmlformats.org/officeDocument/2006/relationships/hyperlink" Target="http://eippcb.jrc.ec.europa.eu/reference/lcp.html" TargetMode="External"/><Relationship Id="rId22" Type="http://schemas.openxmlformats.org/officeDocument/2006/relationships/hyperlink" Target="http://eippcb.jrc.ec.europa.eu/reference/BREF/fmp_bref_1201.pdf" TargetMode="External"/><Relationship Id="rId27" Type="http://schemas.openxmlformats.org/officeDocument/2006/relationships/hyperlink" Target="http://eippcb.jrc.ec.europa.eu/reference/lvic-aaf.html" TargetMode="External"/><Relationship Id="rId30" Type="http://schemas.openxmlformats.org/officeDocument/2006/relationships/hyperlink" Target="http://eippcb.jrc.ec.europa.eu/reference/BREF/lvic-s_bref_0907.pdf" TargetMode="External"/><Relationship Id="rId35" Type="http://schemas.openxmlformats.org/officeDocument/2006/relationships/hyperlink" Target="http://eippcb.jrc.ec.europa.eu/reference/ofc.html" TargetMode="External"/><Relationship Id="rId43" Type="http://schemas.openxmlformats.org/officeDocument/2006/relationships/hyperlink" Target="http://eippcb.jrc.ec.europa.eu/reference/BREF/pol_bref_0807.pdf" TargetMode="External"/><Relationship Id="rId48" Type="http://schemas.openxmlformats.org/officeDocument/2006/relationships/hyperlink" Target="http://eippcb.jrc.ec.europa.eu/reference/BREF/sa_bref_0505.pdf" TargetMode="External"/><Relationship Id="rId56" Type="http://schemas.openxmlformats.org/officeDocument/2006/relationships/hyperlink" Target="http://eippcb.jrc.ec.europa.eu/reference/BREF/TAN_Published_def.pdf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eippcb.jrc.ec.europa.eu/reference/stm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eippcb.jrc.ec.europa.eu/reference/BREF/ENE_Adopted_02-2009.pdf" TargetMode="External"/><Relationship Id="rId17" Type="http://schemas.openxmlformats.org/officeDocument/2006/relationships/hyperlink" Target="http://eippcb.jrc.ec.europa.eu/reference/ref.html" TargetMode="External"/><Relationship Id="rId25" Type="http://schemas.openxmlformats.org/officeDocument/2006/relationships/hyperlink" Target="http://eippcb.jrc.ec.europa.eu/reference/i&amp;s.html" TargetMode="External"/><Relationship Id="rId33" Type="http://schemas.openxmlformats.org/officeDocument/2006/relationships/hyperlink" Target="http://eippcb.jrc.ec.europa.eu/reference/gls.html" TargetMode="External"/><Relationship Id="rId38" Type="http://schemas.openxmlformats.org/officeDocument/2006/relationships/hyperlink" Target="http://eippcb.jrc.ec.europa.eu/reference/BREF/nfm_bref_1201.pdf" TargetMode="External"/><Relationship Id="rId46" Type="http://schemas.openxmlformats.org/officeDocument/2006/relationships/hyperlink" Target="http://eippcb.jrc.ec.europa.eu/reference/BREF/sic_bref_0907.pdf" TargetMode="External"/><Relationship Id="rId5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7CF3-F4AB-4245-865A-E55A7C7C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1688</Words>
  <Characters>9627</Characters>
  <Application>Microsoft Office Word</Application>
  <DocSecurity>0</DocSecurity>
  <Lines>80</Lines>
  <Paragraphs>22</Paragraphs>
  <ScaleCrop>false</ScaleCrop>
  <Company>Toshiba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林子晴</dc:creator>
  <cp:lastModifiedBy>boe</cp:lastModifiedBy>
  <cp:revision>2</cp:revision>
  <cp:lastPrinted>2015-10-30T10:32:00Z</cp:lastPrinted>
  <dcterms:created xsi:type="dcterms:W3CDTF">2015-11-20T06:22:00Z</dcterms:created>
  <dcterms:modified xsi:type="dcterms:W3CDTF">2015-11-20T06:22:00Z</dcterms:modified>
</cp:coreProperties>
</file>